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A6C0" w14:textId="501022E4" w:rsidR="00FB67A6" w:rsidRPr="00642C72" w:rsidRDefault="00FB67A6" w:rsidP="00FB67A6">
      <w:pPr>
        <w:jc w:val="right"/>
        <w:rPr>
          <w:rFonts w:ascii="Times New Roman" w:hAnsi="Times New Roman" w:cs="Times New Roman"/>
          <w:b/>
          <w:i/>
          <w:sz w:val="24"/>
          <w:szCs w:val="24"/>
        </w:rPr>
      </w:pPr>
      <w:r w:rsidRPr="00642C72">
        <w:rPr>
          <w:rFonts w:ascii="Times New Roman" w:hAnsi="Times New Roman" w:cs="Times New Roman"/>
          <w:b/>
          <w:i/>
          <w:sz w:val="24"/>
          <w:szCs w:val="24"/>
        </w:rPr>
        <w:t xml:space="preserve">Приложение </w:t>
      </w:r>
      <w:r w:rsidR="00642C72" w:rsidRPr="00642C72">
        <w:rPr>
          <w:rFonts w:ascii="Times New Roman" w:hAnsi="Times New Roman" w:cs="Times New Roman"/>
          <w:b/>
          <w:i/>
          <w:sz w:val="24"/>
          <w:szCs w:val="24"/>
        </w:rPr>
        <w:t>9</w:t>
      </w:r>
    </w:p>
    <w:p w14:paraId="25040CD6" w14:textId="2D8AD605" w:rsidR="00FB67A6" w:rsidRDefault="00FB67A6" w:rsidP="00FB67A6">
      <w:pPr>
        <w:rPr>
          <w:rFonts w:ascii="Times New Roman" w:hAnsi="Times New Roman" w:cs="Times New Roman"/>
          <w:sz w:val="24"/>
          <w:szCs w:val="24"/>
        </w:rPr>
      </w:pPr>
    </w:p>
    <w:p w14:paraId="424138C9" w14:textId="77777777" w:rsidR="003B113A" w:rsidRPr="00642C72" w:rsidRDefault="003B113A" w:rsidP="00FB67A6">
      <w:pPr>
        <w:rPr>
          <w:rFonts w:ascii="Times New Roman" w:hAnsi="Times New Roman" w:cs="Times New Roman"/>
          <w:sz w:val="24"/>
          <w:szCs w:val="24"/>
        </w:rPr>
      </w:pPr>
      <w:bookmarkStart w:id="0" w:name="_GoBack"/>
      <w:bookmarkEnd w:id="0"/>
    </w:p>
    <w:p w14:paraId="63E6F68E" w14:textId="1507E970" w:rsidR="00656FCF" w:rsidRPr="00642C72" w:rsidRDefault="00FB67A6" w:rsidP="00656FCF">
      <w:pPr>
        <w:spacing w:after="0"/>
        <w:jc w:val="center"/>
        <w:rPr>
          <w:rFonts w:ascii="Times New Roman" w:eastAsia="Times New Roman" w:hAnsi="Times New Roman" w:cs="Times New Roman"/>
          <w:b/>
          <w:bCs/>
          <w:sz w:val="24"/>
          <w:szCs w:val="24"/>
        </w:rPr>
      </w:pPr>
      <w:r w:rsidRPr="00642C72">
        <w:rPr>
          <w:rFonts w:ascii="Times New Roman" w:eastAsia="Times New Roman" w:hAnsi="Times New Roman" w:cs="Times New Roman"/>
          <w:b/>
          <w:bCs/>
          <w:sz w:val="24"/>
          <w:szCs w:val="24"/>
        </w:rPr>
        <w:t>Описание</w:t>
      </w:r>
      <w:r w:rsidR="004472B3" w:rsidRPr="00642C72">
        <w:rPr>
          <w:rFonts w:ascii="Times New Roman" w:eastAsia="Times New Roman" w:hAnsi="Times New Roman" w:cs="Times New Roman"/>
          <w:b/>
          <w:bCs/>
          <w:sz w:val="24"/>
          <w:szCs w:val="24"/>
        </w:rPr>
        <w:t xml:space="preserve"> </w:t>
      </w:r>
      <w:r w:rsidRPr="00642C72">
        <w:rPr>
          <w:rFonts w:ascii="Times New Roman" w:eastAsia="Times New Roman" w:hAnsi="Times New Roman" w:cs="Times New Roman"/>
          <w:b/>
          <w:bCs/>
          <w:sz w:val="24"/>
          <w:szCs w:val="24"/>
        </w:rPr>
        <w:t xml:space="preserve">на индикаторите за краен продукт и резултат, </w:t>
      </w:r>
    </w:p>
    <w:p w14:paraId="09AB38BE" w14:textId="77777777" w:rsidR="00656FCF" w:rsidRPr="00642C72" w:rsidRDefault="00FB67A6" w:rsidP="00656FCF">
      <w:pPr>
        <w:spacing w:after="0"/>
        <w:jc w:val="center"/>
        <w:rPr>
          <w:rFonts w:ascii="Times New Roman" w:eastAsia="Times New Roman" w:hAnsi="Times New Roman" w:cs="Times New Roman"/>
          <w:b/>
          <w:bCs/>
          <w:sz w:val="24"/>
          <w:szCs w:val="24"/>
        </w:rPr>
      </w:pPr>
      <w:r w:rsidRPr="00642C72">
        <w:rPr>
          <w:rFonts w:ascii="Times New Roman" w:eastAsia="Times New Roman" w:hAnsi="Times New Roman" w:cs="Times New Roman"/>
          <w:b/>
          <w:bCs/>
          <w:sz w:val="24"/>
          <w:szCs w:val="24"/>
        </w:rPr>
        <w:t>приложими към процедура</w:t>
      </w:r>
      <w:r w:rsidR="004472B3" w:rsidRPr="00642C72">
        <w:rPr>
          <w:rFonts w:ascii="Times New Roman" w:hAnsi="Times New Roman" w:cs="Times New Roman"/>
        </w:rPr>
        <w:t xml:space="preserve"> </w:t>
      </w:r>
      <w:r w:rsidR="004472B3" w:rsidRPr="00642C72">
        <w:rPr>
          <w:rFonts w:ascii="Times New Roman" w:eastAsia="Times New Roman" w:hAnsi="Times New Roman" w:cs="Times New Roman"/>
          <w:b/>
          <w:bCs/>
          <w:sz w:val="24"/>
          <w:szCs w:val="24"/>
        </w:rPr>
        <w:t xml:space="preserve">чрез подбор на проектни предложения </w:t>
      </w:r>
    </w:p>
    <w:p w14:paraId="23AE0FD7" w14:textId="4DF95ABF" w:rsidR="00FB67A6" w:rsidRPr="00642C72" w:rsidRDefault="00D60A81" w:rsidP="00656FCF">
      <w:pPr>
        <w:jc w:val="center"/>
        <w:rPr>
          <w:rFonts w:ascii="Times New Roman" w:eastAsia="Times New Roman" w:hAnsi="Times New Roman" w:cs="Times New Roman"/>
          <w:b/>
          <w:bCs/>
          <w:sz w:val="24"/>
          <w:szCs w:val="24"/>
        </w:rPr>
      </w:pPr>
      <w:r w:rsidRPr="00642C72">
        <w:rPr>
          <w:rFonts w:ascii="Times New Roman" w:eastAsia="Times New Roman" w:hAnsi="Times New Roman" w:cs="Times New Roman"/>
          <w:b/>
          <w:bCs/>
          <w:sz w:val="24"/>
          <w:szCs w:val="24"/>
        </w:rPr>
        <w:t>BG16FFPR003-4.004 „Диверсификация и адаптиране на малки и средни предприятия към икономическия преход“ на ПРР</w:t>
      </w:r>
      <w:r w:rsidR="00E70625" w:rsidRPr="00642C72">
        <w:rPr>
          <w:rStyle w:val="FootnoteReference"/>
          <w:rFonts w:ascii="Times New Roman" w:eastAsia="Times New Roman" w:hAnsi="Times New Roman" w:cs="Times New Roman"/>
          <w:b/>
          <w:bCs/>
          <w:sz w:val="24"/>
          <w:szCs w:val="24"/>
        </w:rPr>
        <w:footnoteReference w:id="1"/>
      </w:r>
    </w:p>
    <w:p w14:paraId="67A27C1A" w14:textId="77777777" w:rsidR="00FB67A6" w:rsidRPr="00642C72" w:rsidRDefault="00FB67A6" w:rsidP="00656FCF">
      <w:pPr>
        <w:widowControl w:val="0"/>
        <w:autoSpaceDE w:val="0"/>
        <w:autoSpaceDN w:val="0"/>
        <w:spacing w:after="0" w:line="240" w:lineRule="auto"/>
        <w:jc w:val="center"/>
        <w:rPr>
          <w:rFonts w:ascii="Times New Roman" w:eastAsia="Times New Roman" w:hAnsi="Times New Roman" w:cs="Times New Roman"/>
          <w:b/>
          <w:bCs/>
          <w:sz w:val="24"/>
          <w:szCs w:val="24"/>
        </w:rPr>
      </w:pPr>
    </w:p>
    <w:p w14:paraId="04332BC2" w14:textId="0A7A6D4A" w:rsidR="003B0361" w:rsidRPr="00642C72" w:rsidRDefault="00651EA7" w:rsidP="00701CC2">
      <w:pPr>
        <w:tabs>
          <w:tab w:val="left" w:pos="3600"/>
        </w:tabs>
        <w:jc w:val="both"/>
        <w:rPr>
          <w:rFonts w:ascii="Times New Roman" w:hAnsi="Times New Roman" w:cs="Times New Roman"/>
          <w:sz w:val="24"/>
          <w:szCs w:val="24"/>
        </w:rPr>
      </w:pPr>
      <w:r w:rsidRPr="00642C72">
        <w:rPr>
          <w:rFonts w:ascii="Times New Roman" w:hAnsi="Times New Roman" w:cs="Times New Roman"/>
          <w:sz w:val="24"/>
          <w:szCs w:val="24"/>
        </w:rPr>
        <w:t xml:space="preserve">Бюджетът на процедура </w:t>
      </w:r>
      <w:r w:rsidR="00D60A81" w:rsidRPr="00642C72">
        <w:rPr>
          <w:rFonts w:ascii="Times New Roman" w:hAnsi="Times New Roman" w:cs="Times New Roman"/>
          <w:sz w:val="24"/>
          <w:szCs w:val="24"/>
        </w:rPr>
        <w:t>BG16FFPR003-4.004 „Диверсификация и адаптиране на малки и средни предприятия към икономическия преход“</w:t>
      </w:r>
      <w:r w:rsidR="00EB2A77" w:rsidRPr="00642C72">
        <w:rPr>
          <w:rFonts w:ascii="Times New Roman" w:hAnsi="Times New Roman" w:cs="Times New Roman"/>
          <w:sz w:val="24"/>
          <w:szCs w:val="24"/>
        </w:rPr>
        <w:t xml:space="preserve"> </w:t>
      </w:r>
      <w:r w:rsidRPr="00642C72">
        <w:rPr>
          <w:rFonts w:ascii="Times New Roman" w:hAnsi="Times New Roman" w:cs="Times New Roman"/>
          <w:sz w:val="24"/>
          <w:szCs w:val="24"/>
        </w:rPr>
        <w:t xml:space="preserve">е осигурен по линия на </w:t>
      </w:r>
      <w:r w:rsidR="00D60A81" w:rsidRPr="00642C72">
        <w:rPr>
          <w:rFonts w:ascii="Times New Roman" w:hAnsi="Times New Roman" w:cs="Times New Roman"/>
          <w:sz w:val="24"/>
          <w:szCs w:val="24"/>
        </w:rPr>
        <w:t xml:space="preserve">приоритет 4 „Справедлив преход“, Специфична цел на процедурата: JSO8.1. Осигуряване на възможност на регионите и населението да се справят с въздействието върху социалната сфера, заетостта, икономиката и околната среда на прехода към постигане на целите на Съюза за 2030 г. в областта на енергетиката и климата и на неутрална по отношение на климата икономика на Съюза до 2050 г. въз основа на Парижкото споразумение </w:t>
      </w:r>
      <w:r w:rsidRPr="00642C72">
        <w:rPr>
          <w:rFonts w:ascii="Times New Roman" w:hAnsi="Times New Roman" w:cs="Times New Roman"/>
          <w:sz w:val="24"/>
          <w:szCs w:val="24"/>
        </w:rPr>
        <w:t xml:space="preserve">на </w:t>
      </w:r>
      <w:r w:rsidR="00EB2A77" w:rsidRPr="00642C72">
        <w:rPr>
          <w:rFonts w:ascii="Times New Roman" w:hAnsi="Times New Roman" w:cs="Times New Roman"/>
          <w:sz w:val="24"/>
          <w:szCs w:val="24"/>
        </w:rPr>
        <w:t>Програма „</w:t>
      </w:r>
      <w:r w:rsidR="00D60A81" w:rsidRPr="00642C72">
        <w:rPr>
          <w:rFonts w:ascii="Times New Roman" w:hAnsi="Times New Roman" w:cs="Times New Roman"/>
          <w:sz w:val="24"/>
          <w:szCs w:val="24"/>
        </w:rPr>
        <w:t>Развитие на регионите</w:t>
      </w:r>
      <w:r w:rsidR="00EB2A77" w:rsidRPr="00642C72">
        <w:rPr>
          <w:rFonts w:ascii="Times New Roman" w:hAnsi="Times New Roman" w:cs="Times New Roman"/>
          <w:sz w:val="24"/>
          <w:szCs w:val="24"/>
        </w:rPr>
        <w:t>“ 2021-2027 г. (</w:t>
      </w:r>
      <w:r w:rsidR="00D60A81" w:rsidRPr="00642C72">
        <w:rPr>
          <w:rFonts w:ascii="Times New Roman" w:hAnsi="Times New Roman" w:cs="Times New Roman"/>
          <w:sz w:val="24"/>
          <w:szCs w:val="24"/>
        </w:rPr>
        <w:t>ПРР</w:t>
      </w:r>
      <w:r w:rsidR="00EB2A77" w:rsidRPr="00642C72">
        <w:rPr>
          <w:rFonts w:ascii="Times New Roman" w:hAnsi="Times New Roman" w:cs="Times New Roman"/>
          <w:sz w:val="24"/>
          <w:szCs w:val="24"/>
        </w:rPr>
        <w:t>)</w:t>
      </w:r>
      <w:r w:rsidR="00D60A81" w:rsidRPr="00642C72">
        <w:rPr>
          <w:rFonts w:ascii="Times New Roman" w:hAnsi="Times New Roman" w:cs="Times New Roman"/>
          <w:sz w:val="24"/>
          <w:szCs w:val="24"/>
        </w:rPr>
        <w:t>.</w:t>
      </w:r>
    </w:p>
    <w:p w14:paraId="6D08AF8D" w14:textId="75D07544" w:rsidR="00E15221" w:rsidRPr="00642C72" w:rsidRDefault="00BA7F11" w:rsidP="00D60A81">
      <w:pPr>
        <w:tabs>
          <w:tab w:val="left" w:pos="3600"/>
        </w:tabs>
        <w:jc w:val="both"/>
        <w:rPr>
          <w:rFonts w:ascii="Times New Roman" w:hAnsi="Times New Roman" w:cs="Times New Roman"/>
          <w:sz w:val="24"/>
          <w:szCs w:val="24"/>
        </w:rPr>
      </w:pPr>
      <w:r w:rsidRPr="00642C72">
        <w:rPr>
          <w:rFonts w:ascii="Times New Roman" w:hAnsi="Times New Roman" w:cs="Times New Roman"/>
          <w:sz w:val="24"/>
          <w:szCs w:val="24"/>
        </w:rPr>
        <w:t xml:space="preserve">В рамките на </w:t>
      </w:r>
      <w:r w:rsidR="00701CC2" w:rsidRPr="00642C72">
        <w:rPr>
          <w:rFonts w:ascii="Times New Roman" w:hAnsi="Times New Roman" w:cs="Times New Roman"/>
          <w:sz w:val="24"/>
          <w:szCs w:val="24"/>
        </w:rPr>
        <w:t xml:space="preserve">настоящото </w:t>
      </w:r>
      <w:r w:rsidRPr="00642C72">
        <w:rPr>
          <w:rFonts w:ascii="Times New Roman" w:hAnsi="Times New Roman" w:cs="Times New Roman"/>
          <w:sz w:val="24"/>
          <w:szCs w:val="24"/>
        </w:rPr>
        <w:t xml:space="preserve">приложение е представено описание </w:t>
      </w:r>
      <w:r w:rsidR="00F34007" w:rsidRPr="00642C72">
        <w:rPr>
          <w:rFonts w:ascii="Times New Roman" w:hAnsi="Times New Roman" w:cs="Times New Roman"/>
          <w:sz w:val="24"/>
          <w:szCs w:val="24"/>
        </w:rPr>
        <w:t xml:space="preserve">на </w:t>
      </w:r>
      <w:r w:rsidR="00843E07" w:rsidRPr="00642C72">
        <w:rPr>
          <w:rFonts w:ascii="Times New Roman" w:hAnsi="Times New Roman" w:cs="Times New Roman"/>
          <w:sz w:val="24"/>
          <w:szCs w:val="24"/>
        </w:rPr>
        <w:t>приложимите по процедурата</w:t>
      </w:r>
      <w:r w:rsidR="00F34007" w:rsidRPr="00642C72">
        <w:rPr>
          <w:rFonts w:ascii="Times New Roman" w:hAnsi="Times New Roman" w:cs="Times New Roman"/>
          <w:sz w:val="24"/>
          <w:szCs w:val="24"/>
        </w:rPr>
        <w:t xml:space="preserve"> индикатори.</w:t>
      </w:r>
    </w:p>
    <w:p w14:paraId="16CC769F" w14:textId="2932FE1C" w:rsidR="00E15221" w:rsidRPr="00642C72" w:rsidRDefault="00E15221" w:rsidP="00E15221">
      <w:pPr>
        <w:tabs>
          <w:tab w:val="left" w:pos="3600"/>
        </w:tabs>
        <w:rPr>
          <w:rFonts w:ascii="Times New Roman" w:hAnsi="Times New Roman" w:cs="Times New Roman"/>
          <w:b/>
          <w:sz w:val="24"/>
          <w:szCs w:val="24"/>
        </w:rPr>
      </w:pPr>
    </w:p>
    <w:p w14:paraId="244B4EF1" w14:textId="4B235D24" w:rsidR="00D60A81" w:rsidRPr="00642C72" w:rsidRDefault="00D60A81" w:rsidP="00E15221">
      <w:pPr>
        <w:tabs>
          <w:tab w:val="left" w:pos="3600"/>
        </w:tabs>
        <w:rPr>
          <w:rFonts w:ascii="Times New Roman" w:hAnsi="Times New Roman" w:cs="Times New Roman"/>
          <w:b/>
          <w:sz w:val="24"/>
          <w:szCs w:val="24"/>
        </w:rPr>
      </w:pPr>
    </w:p>
    <w:p w14:paraId="26B90BD1" w14:textId="5C6C8EE5" w:rsidR="00D60A81" w:rsidRPr="00642C72" w:rsidRDefault="00D60A81" w:rsidP="00E15221">
      <w:pPr>
        <w:tabs>
          <w:tab w:val="left" w:pos="3600"/>
        </w:tabs>
        <w:rPr>
          <w:rFonts w:ascii="Times New Roman" w:hAnsi="Times New Roman" w:cs="Times New Roman"/>
          <w:b/>
          <w:sz w:val="24"/>
          <w:szCs w:val="24"/>
        </w:rPr>
      </w:pPr>
    </w:p>
    <w:p w14:paraId="4BB2CC0B" w14:textId="43D189C2" w:rsidR="00D60A81" w:rsidRPr="00642C72" w:rsidRDefault="00D60A81" w:rsidP="00E15221">
      <w:pPr>
        <w:tabs>
          <w:tab w:val="left" w:pos="3600"/>
        </w:tabs>
        <w:rPr>
          <w:rFonts w:ascii="Times New Roman" w:hAnsi="Times New Roman" w:cs="Times New Roman"/>
          <w:b/>
          <w:sz w:val="24"/>
          <w:szCs w:val="24"/>
        </w:rPr>
      </w:pPr>
    </w:p>
    <w:p w14:paraId="589EA9F9" w14:textId="53580A7F" w:rsidR="00D60A81" w:rsidRPr="00642C72" w:rsidRDefault="00D60A81" w:rsidP="00E15221">
      <w:pPr>
        <w:tabs>
          <w:tab w:val="left" w:pos="3600"/>
        </w:tabs>
        <w:rPr>
          <w:rFonts w:ascii="Times New Roman" w:hAnsi="Times New Roman" w:cs="Times New Roman"/>
          <w:b/>
          <w:sz w:val="24"/>
          <w:szCs w:val="24"/>
        </w:rPr>
      </w:pPr>
    </w:p>
    <w:p w14:paraId="73977E94" w14:textId="39A76028" w:rsidR="00D60A81" w:rsidRPr="00642C72" w:rsidRDefault="00D60A81" w:rsidP="00E15221">
      <w:pPr>
        <w:tabs>
          <w:tab w:val="left" w:pos="3600"/>
        </w:tabs>
        <w:rPr>
          <w:rFonts w:ascii="Times New Roman" w:hAnsi="Times New Roman" w:cs="Times New Roman"/>
          <w:b/>
          <w:sz w:val="24"/>
          <w:szCs w:val="24"/>
        </w:rPr>
      </w:pPr>
    </w:p>
    <w:p w14:paraId="6520B00D" w14:textId="5262977E" w:rsidR="00D60A81" w:rsidRPr="00642C72" w:rsidRDefault="00D60A81" w:rsidP="00E15221">
      <w:pPr>
        <w:tabs>
          <w:tab w:val="left" w:pos="3600"/>
        </w:tabs>
        <w:rPr>
          <w:rFonts w:ascii="Times New Roman" w:hAnsi="Times New Roman" w:cs="Times New Roman"/>
          <w:b/>
          <w:sz w:val="24"/>
          <w:szCs w:val="24"/>
        </w:rPr>
      </w:pPr>
    </w:p>
    <w:p w14:paraId="2B5AA8BF" w14:textId="650E6FDB" w:rsidR="00D60A81" w:rsidRPr="00642C72" w:rsidRDefault="00D60A81" w:rsidP="00E15221">
      <w:pPr>
        <w:tabs>
          <w:tab w:val="left" w:pos="3600"/>
        </w:tabs>
        <w:rPr>
          <w:rFonts w:ascii="Times New Roman" w:hAnsi="Times New Roman" w:cs="Times New Roman"/>
          <w:b/>
          <w:sz w:val="24"/>
          <w:szCs w:val="24"/>
        </w:rPr>
      </w:pPr>
    </w:p>
    <w:p w14:paraId="75E61F23" w14:textId="6DA71FA9" w:rsidR="00D60A81" w:rsidRPr="00642C72" w:rsidRDefault="00D60A81" w:rsidP="00E15221">
      <w:pPr>
        <w:tabs>
          <w:tab w:val="left" w:pos="3600"/>
        </w:tabs>
        <w:rPr>
          <w:rFonts w:ascii="Times New Roman" w:hAnsi="Times New Roman" w:cs="Times New Roman"/>
          <w:b/>
          <w:sz w:val="24"/>
          <w:szCs w:val="24"/>
        </w:rPr>
      </w:pPr>
    </w:p>
    <w:p w14:paraId="3F767F98" w14:textId="5B813754" w:rsidR="001269EB" w:rsidRPr="00642C72" w:rsidRDefault="001269EB" w:rsidP="00E15221">
      <w:pPr>
        <w:tabs>
          <w:tab w:val="left" w:pos="3600"/>
        </w:tabs>
        <w:rPr>
          <w:rFonts w:ascii="Times New Roman" w:hAnsi="Times New Roman" w:cs="Times New Roman"/>
          <w:b/>
          <w:sz w:val="24"/>
          <w:szCs w:val="24"/>
        </w:rPr>
      </w:pPr>
    </w:p>
    <w:p w14:paraId="07348608" w14:textId="77777777" w:rsidR="001269EB" w:rsidRPr="00642C72" w:rsidRDefault="001269EB" w:rsidP="00E15221">
      <w:pPr>
        <w:tabs>
          <w:tab w:val="left" w:pos="3600"/>
        </w:tabs>
        <w:rPr>
          <w:rFonts w:ascii="Times New Roman" w:hAnsi="Times New Roman" w:cs="Times New Roman"/>
          <w:b/>
          <w:sz w:val="24"/>
          <w:szCs w:val="24"/>
        </w:rPr>
      </w:pPr>
    </w:p>
    <w:p w14:paraId="5CBE5751" w14:textId="578687D2" w:rsidR="00D60A81" w:rsidRPr="00642C72" w:rsidRDefault="00D60A81" w:rsidP="00E15221">
      <w:pPr>
        <w:tabs>
          <w:tab w:val="left" w:pos="3600"/>
        </w:tabs>
        <w:rPr>
          <w:rFonts w:ascii="Times New Roman" w:hAnsi="Times New Roman" w:cs="Times New Roman"/>
          <w:b/>
          <w:sz w:val="24"/>
          <w:szCs w:val="24"/>
        </w:rPr>
      </w:pPr>
    </w:p>
    <w:p w14:paraId="5F157674" w14:textId="7FBEB224" w:rsidR="00D60A81" w:rsidRPr="00642C72" w:rsidRDefault="00D60A81" w:rsidP="00E15221">
      <w:pPr>
        <w:tabs>
          <w:tab w:val="left" w:pos="3600"/>
        </w:tabs>
        <w:rPr>
          <w:rFonts w:ascii="Times New Roman" w:hAnsi="Times New Roman" w:cs="Times New Roman"/>
          <w:b/>
          <w:sz w:val="24"/>
          <w:szCs w:val="24"/>
        </w:rPr>
      </w:pPr>
    </w:p>
    <w:p w14:paraId="51C51580" w14:textId="70D17862" w:rsidR="00E95921" w:rsidRPr="00642C72" w:rsidRDefault="00E95921" w:rsidP="00E15221">
      <w:pPr>
        <w:tabs>
          <w:tab w:val="left" w:pos="3600"/>
        </w:tabs>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934"/>
        <w:gridCol w:w="6298"/>
      </w:tblGrid>
      <w:tr w:rsidR="004478D8" w:rsidRPr="00642C72" w14:paraId="65BCDA78" w14:textId="77777777" w:rsidTr="00D77D8D">
        <w:trPr>
          <w:trHeight w:hRule="exact" w:val="475"/>
          <w:jc w:val="center"/>
        </w:trPr>
        <w:tc>
          <w:tcPr>
            <w:tcW w:w="706" w:type="dxa"/>
            <w:tcBorders>
              <w:top w:val="single" w:sz="4" w:space="0" w:color="auto"/>
              <w:left w:val="single" w:sz="4" w:space="0" w:color="auto"/>
            </w:tcBorders>
            <w:shd w:val="clear" w:color="auto" w:fill="C6D8F0"/>
            <w:vAlign w:val="center"/>
          </w:tcPr>
          <w:p w14:paraId="652E30F6" w14:textId="77777777" w:rsidR="004478D8" w:rsidRPr="00642C72" w:rsidRDefault="004478D8" w:rsidP="00D77D8D">
            <w:pPr>
              <w:pStyle w:val="Other10"/>
              <w:spacing w:after="0"/>
              <w:jc w:val="center"/>
              <w:rPr>
                <w:rFonts w:ascii="Times New Roman" w:hAnsi="Times New Roman" w:cs="Times New Roman"/>
                <w:sz w:val="20"/>
              </w:rPr>
            </w:pPr>
            <w:r w:rsidRPr="00642C72">
              <w:rPr>
                <w:rStyle w:val="Other1"/>
                <w:rFonts w:ascii="Times New Roman" w:hAnsi="Times New Roman" w:cs="Times New Roman"/>
                <w:b/>
                <w:sz w:val="20"/>
              </w:rPr>
              <w:t>Идентификационен номер на реда</w:t>
            </w:r>
          </w:p>
        </w:tc>
        <w:tc>
          <w:tcPr>
            <w:tcW w:w="1934" w:type="dxa"/>
            <w:tcBorders>
              <w:top w:val="single" w:sz="4" w:space="0" w:color="auto"/>
              <w:left w:val="single" w:sz="4" w:space="0" w:color="auto"/>
            </w:tcBorders>
            <w:shd w:val="clear" w:color="auto" w:fill="C6D8F0"/>
          </w:tcPr>
          <w:p w14:paraId="381942A1"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Полето</w:t>
            </w:r>
          </w:p>
        </w:tc>
        <w:tc>
          <w:tcPr>
            <w:tcW w:w="6298" w:type="dxa"/>
            <w:tcBorders>
              <w:top w:val="single" w:sz="4" w:space="0" w:color="auto"/>
              <w:left w:val="single" w:sz="4" w:space="0" w:color="auto"/>
              <w:right w:val="single" w:sz="4" w:space="0" w:color="auto"/>
            </w:tcBorders>
            <w:shd w:val="clear" w:color="auto" w:fill="C6D8F0"/>
          </w:tcPr>
          <w:p w14:paraId="3C1DFE98"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Метаданни на индикатора</w:t>
            </w:r>
          </w:p>
        </w:tc>
      </w:tr>
      <w:tr w:rsidR="004478D8" w:rsidRPr="00642C72" w14:paraId="2856A4F4"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191611DA"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0</w:t>
            </w:r>
          </w:p>
        </w:tc>
        <w:tc>
          <w:tcPr>
            <w:tcW w:w="1934" w:type="dxa"/>
            <w:tcBorders>
              <w:top w:val="single" w:sz="4" w:space="0" w:color="auto"/>
              <w:left w:val="single" w:sz="4" w:space="0" w:color="auto"/>
            </w:tcBorders>
            <w:shd w:val="clear" w:color="auto" w:fill="auto"/>
            <w:vAlign w:val="center"/>
          </w:tcPr>
          <w:p w14:paraId="7EB78D04"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14:paraId="62A9D4D4" w14:textId="44BADD9E" w:rsidR="004478D8" w:rsidRPr="00642C72" w:rsidRDefault="001269EB" w:rsidP="000331E2">
            <w:pPr>
              <w:pStyle w:val="Other10"/>
              <w:spacing w:after="0"/>
              <w:rPr>
                <w:rFonts w:ascii="Times New Roman" w:hAnsi="Times New Roman" w:cs="Times New Roman"/>
                <w:sz w:val="20"/>
              </w:rPr>
            </w:pPr>
            <w:r w:rsidRPr="00642C72">
              <w:rPr>
                <w:rStyle w:val="Other1"/>
                <w:rFonts w:ascii="Times New Roman" w:hAnsi="Times New Roman" w:cs="Times New Roman"/>
                <w:sz w:val="20"/>
              </w:rPr>
              <w:t>Фонд за справедлив преход (ФСП)</w:t>
            </w:r>
          </w:p>
        </w:tc>
      </w:tr>
      <w:tr w:rsidR="004478D8" w:rsidRPr="00642C72" w14:paraId="750CEED2"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1F02F99D"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1</w:t>
            </w:r>
          </w:p>
        </w:tc>
        <w:tc>
          <w:tcPr>
            <w:tcW w:w="1934" w:type="dxa"/>
            <w:tcBorders>
              <w:top w:val="single" w:sz="4" w:space="0" w:color="auto"/>
              <w:left w:val="single" w:sz="4" w:space="0" w:color="auto"/>
            </w:tcBorders>
            <w:shd w:val="clear" w:color="auto" w:fill="auto"/>
            <w:vAlign w:val="center"/>
          </w:tcPr>
          <w:p w14:paraId="502EAEC3"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14:paraId="29F3478E"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RCO01</w:t>
            </w:r>
          </w:p>
        </w:tc>
      </w:tr>
      <w:tr w:rsidR="004478D8" w:rsidRPr="00642C72" w14:paraId="0FC8EE47"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0C32DF22"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2</w:t>
            </w:r>
          </w:p>
        </w:tc>
        <w:tc>
          <w:tcPr>
            <w:tcW w:w="1934" w:type="dxa"/>
            <w:tcBorders>
              <w:top w:val="single" w:sz="4" w:space="0" w:color="auto"/>
              <w:left w:val="single" w:sz="4" w:space="0" w:color="auto"/>
            </w:tcBorders>
            <w:shd w:val="clear" w:color="auto" w:fill="auto"/>
            <w:vAlign w:val="center"/>
          </w:tcPr>
          <w:p w14:paraId="16A6E41C"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Име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1B89C7F6"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Подпомагани предприятия (от които: микро, малки, средни, големи)</w:t>
            </w:r>
          </w:p>
        </w:tc>
      </w:tr>
      <w:tr w:rsidR="004478D8" w:rsidRPr="00642C72" w14:paraId="54381988"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52D666F5"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3</w:t>
            </w:r>
          </w:p>
        </w:tc>
        <w:tc>
          <w:tcPr>
            <w:tcW w:w="1934" w:type="dxa"/>
            <w:tcBorders>
              <w:top w:val="single" w:sz="4" w:space="0" w:color="auto"/>
              <w:left w:val="single" w:sz="4" w:space="0" w:color="auto"/>
            </w:tcBorders>
            <w:shd w:val="clear" w:color="auto" w:fill="auto"/>
            <w:vAlign w:val="center"/>
          </w:tcPr>
          <w:p w14:paraId="0638A657"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14:paraId="46520935"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предприятия</w:t>
            </w:r>
          </w:p>
        </w:tc>
      </w:tr>
      <w:tr w:rsidR="004478D8" w:rsidRPr="00642C72" w14:paraId="02BD1ACA"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07386A19"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4</w:t>
            </w:r>
          </w:p>
        </w:tc>
        <w:tc>
          <w:tcPr>
            <w:tcW w:w="1934" w:type="dxa"/>
            <w:tcBorders>
              <w:top w:val="single" w:sz="4" w:space="0" w:color="auto"/>
              <w:left w:val="single" w:sz="4" w:space="0" w:color="auto"/>
            </w:tcBorders>
            <w:shd w:val="clear" w:color="auto" w:fill="auto"/>
            <w:vAlign w:val="center"/>
          </w:tcPr>
          <w:p w14:paraId="1A4B05F2"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Вид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4B2FC59E" w14:textId="6317D0CB" w:rsidR="004478D8" w:rsidRPr="00642C72" w:rsidRDefault="004478D8" w:rsidP="000331E2">
            <w:pPr>
              <w:pStyle w:val="Other10"/>
              <w:spacing w:after="0"/>
              <w:rPr>
                <w:rFonts w:ascii="Times New Roman" w:hAnsi="Times New Roman" w:cs="Times New Roman"/>
                <w:sz w:val="20"/>
              </w:rPr>
            </w:pPr>
            <w:r w:rsidRPr="00642C72">
              <w:rPr>
                <w:rStyle w:val="Other1"/>
                <w:rFonts w:ascii="Times New Roman" w:hAnsi="Times New Roman" w:cs="Times New Roman"/>
                <w:sz w:val="20"/>
              </w:rPr>
              <w:t>продук</w:t>
            </w:r>
            <w:r w:rsidR="000331E2" w:rsidRPr="00642C72">
              <w:rPr>
                <w:rStyle w:val="Other1"/>
                <w:rFonts w:ascii="Times New Roman" w:hAnsi="Times New Roman" w:cs="Times New Roman"/>
                <w:sz w:val="20"/>
              </w:rPr>
              <w:t>т</w:t>
            </w:r>
          </w:p>
        </w:tc>
      </w:tr>
      <w:tr w:rsidR="004478D8" w:rsidRPr="00642C72" w14:paraId="7A1C1CDF" w14:textId="77777777" w:rsidTr="000331E2">
        <w:trPr>
          <w:trHeight w:hRule="exact" w:val="679"/>
          <w:jc w:val="center"/>
        </w:trPr>
        <w:tc>
          <w:tcPr>
            <w:tcW w:w="706" w:type="dxa"/>
            <w:tcBorders>
              <w:top w:val="single" w:sz="4" w:space="0" w:color="auto"/>
              <w:left w:val="single" w:sz="4" w:space="0" w:color="auto"/>
            </w:tcBorders>
            <w:shd w:val="clear" w:color="auto" w:fill="auto"/>
            <w:vAlign w:val="center"/>
          </w:tcPr>
          <w:p w14:paraId="0D29672F" w14:textId="17C4C046"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5</w:t>
            </w:r>
          </w:p>
        </w:tc>
        <w:tc>
          <w:tcPr>
            <w:tcW w:w="1934" w:type="dxa"/>
            <w:tcBorders>
              <w:top w:val="single" w:sz="4" w:space="0" w:color="auto"/>
              <w:left w:val="single" w:sz="4" w:space="0" w:color="auto"/>
            </w:tcBorders>
            <w:shd w:val="clear" w:color="auto" w:fill="auto"/>
            <w:vAlign w:val="center"/>
          </w:tcPr>
          <w:p w14:paraId="0868232F"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14:paraId="1E1A82E4"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цели на политиката, когато е уместно и в рамките на ФСП</w:t>
            </w:r>
          </w:p>
        </w:tc>
      </w:tr>
      <w:tr w:rsidR="004478D8" w:rsidRPr="00642C72" w14:paraId="226543C7"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238C921F" w14:textId="6AACB085"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6</w:t>
            </w:r>
          </w:p>
        </w:tc>
        <w:tc>
          <w:tcPr>
            <w:tcW w:w="1934" w:type="dxa"/>
            <w:tcBorders>
              <w:top w:val="single" w:sz="4" w:space="0" w:color="auto"/>
              <w:left w:val="single" w:sz="4" w:space="0" w:color="auto"/>
            </w:tcBorders>
            <w:shd w:val="clear" w:color="auto" w:fill="auto"/>
            <w:vAlign w:val="center"/>
          </w:tcPr>
          <w:p w14:paraId="62CE7385"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14:paraId="2532A15D"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специфични цели, когато е уместно и по ФСП</w:t>
            </w:r>
          </w:p>
        </w:tc>
      </w:tr>
      <w:tr w:rsidR="004478D8" w:rsidRPr="00642C72" w14:paraId="5806E0A0" w14:textId="77777777" w:rsidTr="000331E2">
        <w:trPr>
          <w:trHeight w:hRule="exact" w:val="9311"/>
          <w:jc w:val="center"/>
        </w:trPr>
        <w:tc>
          <w:tcPr>
            <w:tcW w:w="706" w:type="dxa"/>
            <w:tcBorders>
              <w:top w:val="single" w:sz="4" w:space="0" w:color="auto"/>
              <w:left w:val="single" w:sz="4" w:space="0" w:color="auto"/>
              <w:bottom w:val="single" w:sz="4" w:space="0" w:color="auto"/>
            </w:tcBorders>
            <w:shd w:val="clear" w:color="auto" w:fill="auto"/>
          </w:tcPr>
          <w:p w14:paraId="21E5FEB7" w14:textId="45D0D25A"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t>7</w:t>
            </w:r>
          </w:p>
        </w:tc>
        <w:tc>
          <w:tcPr>
            <w:tcW w:w="1934" w:type="dxa"/>
            <w:tcBorders>
              <w:top w:val="single" w:sz="4" w:space="0" w:color="auto"/>
              <w:left w:val="single" w:sz="4" w:space="0" w:color="auto"/>
              <w:bottom w:val="single" w:sz="4" w:space="0" w:color="auto"/>
            </w:tcBorders>
            <w:shd w:val="clear" w:color="auto" w:fill="auto"/>
          </w:tcPr>
          <w:p w14:paraId="0F6968A8" w14:textId="77777777" w:rsidR="004478D8" w:rsidRPr="00642C72" w:rsidRDefault="004478D8" w:rsidP="00D77D8D">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Определение и понятия</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bottom"/>
          </w:tcPr>
          <w:p w14:paraId="59E0B505" w14:textId="5C2373DD" w:rsidR="004478D8" w:rsidRPr="00642C72" w:rsidRDefault="004478D8" w:rsidP="00D77D8D">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 xml:space="preserve">Показателят отчита всички предприятия, които получават подкрепа </w:t>
            </w:r>
            <w:r w:rsidR="000331E2" w:rsidRPr="00642C72">
              <w:rPr>
                <w:rStyle w:val="Other1"/>
                <w:rFonts w:ascii="Times New Roman" w:hAnsi="Times New Roman" w:cs="Times New Roman"/>
                <w:sz w:val="20"/>
              </w:rPr>
              <w:t>по настоящата процедура.</w:t>
            </w:r>
          </w:p>
          <w:p w14:paraId="768DE8AF" w14:textId="0FB8E326" w:rsidR="004478D8" w:rsidRPr="00642C72" w:rsidRDefault="004478D8" w:rsidP="000331E2">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 xml:space="preserve">Предприятието е най-малката комбинация от юридически единици, която е организационна единица, произвеждаща стоки и услуги, която се ползва от определена степен на автономност при вземането на решения, особено за разпределението на текущите си ресурси. Предприятието извършва една или повече дейности на едно или повече места. Едно предприятие може да бъде единствена юридическа единица. Юридическите единици включват юридически лица, чието съществуване е признато от закона независимо от физическите лица или институциите, които могат да ги притежават или членуват в тях, като например общи дружества, дружества с ограничена отговорност, дружества с ограничена отговорност, учредени дружества и т.н. </w:t>
            </w:r>
          </w:p>
          <w:p w14:paraId="5A56CA11" w14:textId="77777777" w:rsidR="000331E2" w:rsidRPr="00642C72" w:rsidRDefault="004478D8" w:rsidP="00D77D8D">
            <w:pPr>
              <w:pStyle w:val="Other10"/>
              <w:spacing w:after="0"/>
              <w:rPr>
                <w:rStyle w:val="Other1"/>
                <w:rFonts w:ascii="Times New Roman" w:hAnsi="Times New Roman" w:cs="Times New Roman"/>
                <w:sz w:val="20"/>
              </w:rPr>
            </w:pPr>
            <w:r w:rsidRPr="00642C72">
              <w:rPr>
                <w:rStyle w:val="Other1"/>
                <w:rFonts w:ascii="Times New Roman" w:hAnsi="Times New Roman" w:cs="Times New Roman"/>
                <w:sz w:val="20"/>
              </w:rPr>
              <w:t>За целите на този показател предприятията са ориентирани към печалба организации, които произвеждат стоки и услуги за задоволяване на нуждите на пазара</w:t>
            </w:r>
            <w:r w:rsidR="000331E2" w:rsidRPr="00642C72">
              <w:rPr>
                <w:rStyle w:val="Other1"/>
                <w:rFonts w:ascii="Times New Roman" w:hAnsi="Times New Roman" w:cs="Times New Roman"/>
                <w:sz w:val="20"/>
              </w:rPr>
              <w:t>.</w:t>
            </w:r>
          </w:p>
          <w:p w14:paraId="3D246800" w14:textId="6E875F10" w:rsidR="004478D8" w:rsidRPr="00642C72" w:rsidRDefault="004478D8" w:rsidP="00D77D8D">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 xml:space="preserve"> Класификация на предприятията:</w:t>
            </w:r>
          </w:p>
          <w:p w14:paraId="38B6AD87" w14:textId="77777777" w:rsidR="004478D8" w:rsidRPr="00642C72" w:rsidRDefault="004478D8" w:rsidP="00D77D8D">
            <w:pPr>
              <w:pStyle w:val="Other10"/>
              <w:spacing w:after="0"/>
              <w:rPr>
                <w:rStyle w:val="Other1"/>
                <w:rFonts w:ascii="Times New Roman" w:hAnsi="Times New Roman" w:cs="Times New Roman"/>
              </w:rPr>
            </w:pPr>
            <w:proofErr w:type="spellStart"/>
            <w:r w:rsidRPr="00642C72">
              <w:rPr>
                <w:rStyle w:val="Other1"/>
                <w:rFonts w:ascii="Times New Roman" w:hAnsi="Times New Roman" w:cs="Times New Roman"/>
                <w:sz w:val="20"/>
              </w:rPr>
              <w:t>Микропредприятия</w:t>
            </w:r>
            <w:proofErr w:type="spellEnd"/>
            <w:r w:rsidRPr="00642C72">
              <w:rPr>
                <w:rStyle w:val="Other1"/>
                <w:rFonts w:ascii="Times New Roman" w:hAnsi="Times New Roman" w:cs="Times New Roman"/>
                <w:sz w:val="20"/>
              </w:rPr>
              <w:t xml:space="preserve"> ( &amp;= 10 наети лица и годишен оборот ≤ 2 млн. евро, или счетоводен баланс ≤ 2 млн. EUR);</w:t>
            </w:r>
          </w:p>
          <w:p w14:paraId="1418A4CC" w14:textId="77777777" w:rsidR="000331E2" w:rsidRPr="00642C72" w:rsidRDefault="000331E2" w:rsidP="000331E2">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Малко предприятие (10—49 служители и годишен оборот &gt; 2 млн. EUR —≤ 10 млн. EUR или счетоводен баланс в &gt; 2 млн. EUR — ≤ 10 млн. EUR);</w:t>
            </w:r>
          </w:p>
          <w:p w14:paraId="1076D5EB" w14:textId="77777777" w:rsidR="000331E2" w:rsidRPr="00642C72" w:rsidRDefault="000331E2" w:rsidP="000331E2">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Средно предприятие (50—249 служители и годишен оборот &gt; 10 млн. EUR — ≤ 50 млн. EUR или счетоводен баланс в EUR &gt; 10 млн. EUR — ≤</w:t>
            </w:r>
          </w:p>
          <w:p w14:paraId="39F94780" w14:textId="77777777" w:rsidR="000331E2" w:rsidRPr="00642C72" w:rsidRDefault="000331E2" w:rsidP="000331E2">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43 милиона евро);</w:t>
            </w:r>
          </w:p>
          <w:p w14:paraId="2B38DD02" w14:textId="77777777" w:rsidR="000331E2" w:rsidRPr="00642C72" w:rsidRDefault="000331E2" w:rsidP="000331E2">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Големи предприятия (&gt; 250 служители и оборот &gt; 50 млн. евро или счетоводен баланс &gt; 43 млн. EUR).</w:t>
            </w:r>
          </w:p>
          <w:p w14:paraId="3F835198" w14:textId="77777777" w:rsidR="000331E2" w:rsidRPr="00642C72" w:rsidRDefault="000331E2" w:rsidP="000331E2">
            <w:pPr>
              <w:pStyle w:val="Other10"/>
              <w:spacing w:after="0"/>
              <w:rPr>
                <w:rStyle w:val="Other1"/>
                <w:rFonts w:ascii="Times New Roman" w:hAnsi="Times New Roman" w:cs="Times New Roman"/>
              </w:rPr>
            </w:pPr>
            <w:r w:rsidRPr="00642C72">
              <w:rPr>
                <w:rStyle w:val="Other1"/>
                <w:rFonts w:ascii="Times New Roman" w:hAnsi="Times New Roman" w:cs="Times New Roman"/>
                <w:sz w:val="20"/>
              </w:rPr>
              <w:t>Ако някой от двата прага (служители и годишен оборот/счетоводен баланс) е надвишен, предприятията се категоризират в горната категория по размер. (ESTAT въз основа на Препоръка 2003/361/ЕО на ЕО, приложение, член 2</w:t>
            </w:r>
            <w:r w:rsidRPr="00642C72">
              <w:rPr>
                <w:rStyle w:val="Other1"/>
                <w:rFonts w:ascii="Times New Roman" w:hAnsi="Times New Roman" w:cs="Times New Roman"/>
                <w:sz w:val="20"/>
              </w:rPr>
              <w:softHyphen/>
              <w:t>3)</w:t>
            </w:r>
          </w:p>
          <w:p w14:paraId="532BF29A" w14:textId="02DDCF35" w:rsidR="000331E2" w:rsidRPr="00642C72" w:rsidRDefault="000331E2" w:rsidP="000331E2">
            <w:pPr>
              <w:pStyle w:val="Other10"/>
              <w:spacing w:after="0"/>
              <w:rPr>
                <w:rStyle w:val="Other1"/>
                <w:rFonts w:ascii="Times New Roman" w:hAnsi="Times New Roman" w:cs="Times New Roman"/>
                <w:sz w:val="20"/>
              </w:rPr>
            </w:pPr>
            <w:r w:rsidRPr="00642C72">
              <w:rPr>
                <w:rStyle w:val="Other1"/>
                <w:rFonts w:ascii="Times New Roman" w:hAnsi="Times New Roman" w:cs="Times New Roman"/>
                <w:sz w:val="20"/>
              </w:rPr>
              <w:t>Размерът на подпомаганото предприятие се измерва към момента на подаване на заявлението.</w:t>
            </w:r>
          </w:p>
        </w:tc>
      </w:tr>
      <w:tr w:rsidR="00D42500" w:rsidRPr="00642C72" w14:paraId="5534B436" w14:textId="77777777" w:rsidTr="00D42500">
        <w:trPr>
          <w:trHeight w:hRule="exact" w:val="522"/>
          <w:jc w:val="center"/>
        </w:trPr>
        <w:tc>
          <w:tcPr>
            <w:tcW w:w="706" w:type="dxa"/>
            <w:tcBorders>
              <w:top w:val="single" w:sz="4" w:space="0" w:color="auto"/>
              <w:left w:val="single" w:sz="4" w:space="0" w:color="auto"/>
              <w:bottom w:val="single" w:sz="4" w:space="0" w:color="auto"/>
            </w:tcBorders>
            <w:shd w:val="clear" w:color="auto" w:fill="auto"/>
            <w:vAlign w:val="center"/>
          </w:tcPr>
          <w:p w14:paraId="78F9436A" w14:textId="05988BAD" w:rsidR="00D42500" w:rsidRPr="00642C72" w:rsidRDefault="00D42500" w:rsidP="00D42500">
            <w:pPr>
              <w:pStyle w:val="Other10"/>
              <w:spacing w:after="0"/>
              <w:ind w:firstLine="240"/>
              <w:rPr>
                <w:rStyle w:val="Other1"/>
                <w:rFonts w:ascii="Times New Roman" w:hAnsi="Times New Roman" w:cs="Times New Roman"/>
                <w:sz w:val="20"/>
              </w:rPr>
            </w:pPr>
            <w:r w:rsidRPr="00642C72">
              <w:rPr>
                <w:rStyle w:val="Other1"/>
                <w:rFonts w:ascii="Times New Roman" w:hAnsi="Times New Roman" w:cs="Times New Roman"/>
                <w:sz w:val="20"/>
              </w:rPr>
              <w:t>8</w:t>
            </w:r>
          </w:p>
        </w:tc>
        <w:tc>
          <w:tcPr>
            <w:tcW w:w="1934" w:type="dxa"/>
            <w:tcBorders>
              <w:top w:val="single" w:sz="4" w:space="0" w:color="auto"/>
              <w:left w:val="single" w:sz="4" w:space="0" w:color="auto"/>
              <w:bottom w:val="single" w:sz="4" w:space="0" w:color="auto"/>
            </w:tcBorders>
            <w:shd w:val="clear" w:color="auto" w:fill="auto"/>
            <w:vAlign w:val="center"/>
          </w:tcPr>
          <w:p w14:paraId="0D9C439B" w14:textId="483325EB" w:rsidR="00D42500" w:rsidRPr="00642C72" w:rsidRDefault="00D42500" w:rsidP="00D42500">
            <w:pPr>
              <w:pStyle w:val="Other10"/>
              <w:spacing w:after="0"/>
              <w:rPr>
                <w:rStyle w:val="Other1"/>
                <w:rFonts w:ascii="Times New Roman" w:hAnsi="Times New Roman" w:cs="Times New Roman"/>
                <w:sz w:val="20"/>
              </w:rPr>
            </w:pPr>
            <w:r w:rsidRPr="00642C72">
              <w:rPr>
                <w:rStyle w:val="Other1"/>
                <w:rFonts w:ascii="Times New Roman" w:hAnsi="Times New Roman" w:cs="Times New Roman"/>
                <w:sz w:val="20"/>
              </w:rPr>
              <w:t>Събиране на данни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tcPr>
          <w:p w14:paraId="3EDA3BCB" w14:textId="6D427971" w:rsidR="00D42500" w:rsidRPr="00642C72" w:rsidRDefault="00D42500" w:rsidP="00D42500">
            <w:pPr>
              <w:pStyle w:val="Other10"/>
              <w:spacing w:after="0"/>
              <w:rPr>
                <w:rStyle w:val="Other1"/>
                <w:rFonts w:ascii="Times New Roman" w:hAnsi="Times New Roman" w:cs="Times New Roman"/>
                <w:sz w:val="20"/>
              </w:rPr>
            </w:pPr>
            <w:r w:rsidRPr="00642C72">
              <w:rPr>
                <w:rStyle w:val="Other1"/>
                <w:rFonts w:ascii="Times New Roman" w:hAnsi="Times New Roman" w:cs="Times New Roman"/>
                <w:sz w:val="20"/>
              </w:rPr>
              <w:t>Система за мониторинг на УО</w:t>
            </w:r>
          </w:p>
        </w:tc>
      </w:tr>
    </w:tbl>
    <w:p w14:paraId="2F04391F" w14:textId="41887C2A" w:rsidR="00E95921" w:rsidRPr="00642C72" w:rsidRDefault="00E95921" w:rsidP="00E15221">
      <w:pPr>
        <w:tabs>
          <w:tab w:val="left" w:pos="3600"/>
        </w:tabs>
        <w:rPr>
          <w:rFonts w:ascii="Times New Roman" w:hAnsi="Times New Roman" w:cs="Times New Roman"/>
          <w:b/>
          <w:sz w:val="24"/>
          <w:szCs w:val="24"/>
        </w:rPr>
      </w:pPr>
    </w:p>
    <w:p w14:paraId="2C10233D" w14:textId="613BBE00" w:rsidR="00E95921" w:rsidRPr="00642C72" w:rsidRDefault="00E95921" w:rsidP="00E15221">
      <w:pPr>
        <w:tabs>
          <w:tab w:val="left" w:pos="3600"/>
        </w:tabs>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934"/>
        <w:gridCol w:w="6298"/>
      </w:tblGrid>
      <w:tr w:rsidR="004478D8" w:rsidRPr="00642C72" w14:paraId="338EB6B4" w14:textId="77777777" w:rsidTr="00D77D8D">
        <w:trPr>
          <w:trHeight w:hRule="exact" w:val="475"/>
          <w:jc w:val="center"/>
        </w:trPr>
        <w:tc>
          <w:tcPr>
            <w:tcW w:w="706" w:type="dxa"/>
            <w:tcBorders>
              <w:top w:val="single" w:sz="4" w:space="0" w:color="auto"/>
              <w:left w:val="single" w:sz="4" w:space="0" w:color="auto"/>
            </w:tcBorders>
            <w:shd w:val="clear" w:color="auto" w:fill="C6D8F0"/>
            <w:vAlign w:val="center"/>
          </w:tcPr>
          <w:p w14:paraId="50E887E0" w14:textId="77777777" w:rsidR="004478D8" w:rsidRPr="00642C72" w:rsidRDefault="004478D8" w:rsidP="00D77D8D">
            <w:pPr>
              <w:pStyle w:val="Other10"/>
              <w:spacing w:after="0"/>
              <w:jc w:val="center"/>
              <w:rPr>
                <w:rFonts w:ascii="Times New Roman" w:hAnsi="Times New Roman" w:cs="Times New Roman"/>
                <w:sz w:val="20"/>
              </w:rPr>
            </w:pPr>
            <w:r w:rsidRPr="00642C72">
              <w:rPr>
                <w:rStyle w:val="Other1"/>
                <w:rFonts w:ascii="Times New Roman" w:hAnsi="Times New Roman" w:cs="Times New Roman"/>
                <w:b/>
                <w:sz w:val="20"/>
              </w:rPr>
              <w:t>Идентификационен номер на реда</w:t>
            </w:r>
          </w:p>
        </w:tc>
        <w:tc>
          <w:tcPr>
            <w:tcW w:w="1934" w:type="dxa"/>
            <w:tcBorders>
              <w:top w:val="single" w:sz="4" w:space="0" w:color="auto"/>
              <w:left w:val="single" w:sz="4" w:space="0" w:color="auto"/>
            </w:tcBorders>
            <w:shd w:val="clear" w:color="auto" w:fill="C6D8F0"/>
          </w:tcPr>
          <w:p w14:paraId="03B17EAF"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Полето</w:t>
            </w:r>
          </w:p>
        </w:tc>
        <w:tc>
          <w:tcPr>
            <w:tcW w:w="6298" w:type="dxa"/>
            <w:tcBorders>
              <w:top w:val="single" w:sz="4" w:space="0" w:color="auto"/>
              <w:left w:val="single" w:sz="4" w:space="0" w:color="auto"/>
              <w:right w:val="single" w:sz="4" w:space="0" w:color="auto"/>
            </w:tcBorders>
            <w:shd w:val="clear" w:color="auto" w:fill="C6D8F0"/>
          </w:tcPr>
          <w:p w14:paraId="4B55BF0A"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Метаданни на индикатора</w:t>
            </w:r>
          </w:p>
        </w:tc>
      </w:tr>
      <w:tr w:rsidR="004478D8" w:rsidRPr="00642C72" w14:paraId="4AF01513"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0503E997"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0</w:t>
            </w:r>
          </w:p>
        </w:tc>
        <w:tc>
          <w:tcPr>
            <w:tcW w:w="1934" w:type="dxa"/>
            <w:tcBorders>
              <w:top w:val="single" w:sz="4" w:space="0" w:color="auto"/>
              <w:left w:val="single" w:sz="4" w:space="0" w:color="auto"/>
            </w:tcBorders>
            <w:shd w:val="clear" w:color="auto" w:fill="auto"/>
            <w:vAlign w:val="center"/>
          </w:tcPr>
          <w:p w14:paraId="0225034D"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14:paraId="60FC5259" w14:textId="503A5885" w:rsidR="004478D8" w:rsidRPr="00642C72" w:rsidRDefault="001269EB" w:rsidP="000331E2">
            <w:pPr>
              <w:pStyle w:val="Other10"/>
              <w:spacing w:after="0"/>
              <w:rPr>
                <w:rFonts w:ascii="Times New Roman" w:hAnsi="Times New Roman" w:cs="Times New Roman"/>
                <w:sz w:val="20"/>
              </w:rPr>
            </w:pPr>
            <w:r w:rsidRPr="00642C72">
              <w:rPr>
                <w:rStyle w:val="Other1"/>
                <w:rFonts w:ascii="Times New Roman" w:hAnsi="Times New Roman" w:cs="Times New Roman"/>
                <w:sz w:val="20"/>
              </w:rPr>
              <w:t>Фонд за справедлив преход (ФСП)</w:t>
            </w:r>
          </w:p>
        </w:tc>
      </w:tr>
      <w:tr w:rsidR="004478D8" w:rsidRPr="00642C72" w14:paraId="177C5437"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7765443A"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1</w:t>
            </w:r>
          </w:p>
        </w:tc>
        <w:tc>
          <w:tcPr>
            <w:tcW w:w="1934" w:type="dxa"/>
            <w:tcBorders>
              <w:top w:val="single" w:sz="4" w:space="0" w:color="auto"/>
              <w:left w:val="single" w:sz="4" w:space="0" w:color="auto"/>
            </w:tcBorders>
            <w:shd w:val="clear" w:color="auto" w:fill="auto"/>
            <w:vAlign w:val="center"/>
          </w:tcPr>
          <w:p w14:paraId="02F76C78"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14:paraId="6908F3C2"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RCO02</w:t>
            </w:r>
          </w:p>
        </w:tc>
      </w:tr>
      <w:tr w:rsidR="004478D8" w:rsidRPr="00642C72" w14:paraId="42554C37"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17B77A54"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2</w:t>
            </w:r>
          </w:p>
        </w:tc>
        <w:tc>
          <w:tcPr>
            <w:tcW w:w="1934" w:type="dxa"/>
            <w:tcBorders>
              <w:top w:val="single" w:sz="4" w:space="0" w:color="auto"/>
              <w:left w:val="single" w:sz="4" w:space="0" w:color="auto"/>
            </w:tcBorders>
            <w:shd w:val="clear" w:color="auto" w:fill="auto"/>
            <w:vAlign w:val="center"/>
          </w:tcPr>
          <w:p w14:paraId="74DCB2C4"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Име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51C309A1"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Предприятия, подпомагани с безвъзмездни средства</w:t>
            </w:r>
          </w:p>
        </w:tc>
      </w:tr>
      <w:tr w:rsidR="004478D8" w:rsidRPr="00642C72" w14:paraId="7E41B168"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649639AD"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3</w:t>
            </w:r>
          </w:p>
        </w:tc>
        <w:tc>
          <w:tcPr>
            <w:tcW w:w="1934" w:type="dxa"/>
            <w:tcBorders>
              <w:top w:val="single" w:sz="4" w:space="0" w:color="auto"/>
              <w:left w:val="single" w:sz="4" w:space="0" w:color="auto"/>
            </w:tcBorders>
            <w:shd w:val="clear" w:color="auto" w:fill="auto"/>
            <w:vAlign w:val="center"/>
          </w:tcPr>
          <w:p w14:paraId="722F922A"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14:paraId="260739D0"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предприятия</w:t>
            </w:r>
          </w:p>
        </w:tc>
      </w:tr>
      <w:tr w:rsidR="004478D8" w:rsidRPr="00642C72" w14:paraId="0F84CD4B"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393FE29C"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4</w:t>
            </w:r>
          </w:p>
        </w:tc>
        <w:tc>
          <w:tcPr>
            <w:tcW w:w="1934" w:type="dxa"/>
            <w:tcBorders>
              <w:top w:val="single" w:sz="4" w:space="0" w:color="auto"/>
              <w:left w:val="single" w:sz="4" w:space="0" w:color="auto"/>
            </w:tcBorders>
            <w:shd w:val="clear" w:color="auto" w:fill="auto"/>
            <w:vAlign w:val="center"/>
          </w:tcPr>
          <w:p w14:paraId="62E55003"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Вид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123B7F06" w14:textId="4D6F99B3" w:rsidR="004478D8" w:rsidRPr="00642C72" w:rsidRDefault="004478D8" w:rsidP="000331E2">
            <w:pPr>
              <w:pStyle w:val="Other10"/>
              <w:spacing w:after="0"/>
              <w:rPr>
                <w:rFonts w:ascii="Times New Roman" w:hAnsi="Times New Roman" w:cs="Times New Roman"/>
                <w:sz w:val="20"/>
              </w:rPr>
            </w:pPr>
            <w:r w:rsidRPr="00642C72">
              <w:rPr>
                <w:rStyle w:val="Other1"/>
                <w:rFonts w:ascii="Times New Roman" w:hAnsi="Times New Roman" w:cs="Times New Roman"/>
                <w:sz w:val="20"/>
              </w:rPr>
              <w:t>продук</w:t>
            </w:r>
            <w:r w:rsidR="000331E2" w:rsidRPr="00642C72">
              <w:rPr>
                <w:rStyle w:val="Other1"/>
                <w:rFonts w:ascii="Times New Roman" w:hAnsi="Times New Roman" w:cs="Times New Roman"/>
                <w:sz w:val="20"/>
              </w:rPr>
              <w:t>т</w:t>
            </w:r>
          </w:p>
        </w:tc>
      </w:tr>
      <w:tr w:rsidR="004478D8" w:rsidRPr="00642C72" w14:paraId="5F688EC0"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01330422" w14:textId="6E33950F"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5</w:t>
            </w:r>
          </w:p>
        </w:tc>
        <w:tc>
          <w:tcPr>
            <w:tcW w:w="1934" w:type="dxa"/>
            <w:tcBorders>
              <w:top w:val="single" w:sz="4" w:space="0" w:color="auto"/>
              <w:left w:val="single" w:sz="4" w:space="0" w:color="auto"/>
            </w:tcBorders>
            <w:shd w:val="clear" w:color="auto" w:fill="auto"/>
            <w:vAlign w:val="center"/>
          </w:tcPr>
          <w:p w14:paraId="1D32460C"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14:paraId="2CB60EF5"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цели на политиката, когато е уместно и в рамките на ФСП</w:t>
            </w:r>
          </w:p>
        </w:tc>
      </w:tr>
      <w:tr w:rsidR="004478D8" w:rsidRPr="00642C72" w14:paraId="0B0A28DC"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493957B8" w14:textId="00F9AC09"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6</w:t>
            </w:r>
          </w:p>
        </w:tc>
        <w:tc>
          <w:tcPr>
            <w:tcW w:w="1934" w:type="dxa"/>
            <w:tcBorders>
              <w:top w:val="single" w:sz="4" w:space="0" w:color="auto"/>
              <w:left w:val="single" w:sz="4" w:space="0" w:color="auto"/>
            </w:tcBorders>
            <w:shd w:val="clear" w:color="auto" w:fill="auto"/>
            <w:vAlign w:val="center"/>
          </w:tcPr>
          <w:p w14:paraId="37E708A8"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14:paraId="3543F491"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специфични цели, когато е уместно и по ФСП</w:t>
            </w:r>
          </w:p>
        </w:tc>
      </w:tr>
      <w:tr w:rsidR="004478D8" w:rsidRPr="00642C72" w14:paraId="0999BA59" w14:textId="77777777" w:rsidTr="00D42500">
        <w:trPr>
          <w:trHeight w:hRule="exact" w:val="701"/>
          <w:jc w:val="center"/>
        </w:trPr>
        <w:tc>
          <w:tcPr>
            <w:tcW w:w="706" w:type="dxa"/>
            <w:tcBorders>
              <w:top w:val="single" w:sz="4" w:space="0" w:color="auto"/>
              <w:left w:val="single" w:sz="4" w:space="0" w:color="auto"/>
              <w:bottom w:val="single" w:sz="4" w:space="0" w:color="auto"/>
            </w:tcBorders>
            <w:shd w:val="clear" w:color="auto" w:fill="auto"/>
          </w:tcPr>
          <w:p w14:paraId="1FCE2CA8" w14:textId="5AFE30CE"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t>7</w:t>
            </w:r>
          </w:p>
        </w:tc>
        <w:tc>
          <w:tcPr>
            <w:tcW w:w="1934" w:type="dxa"/>
            <w:tcBorders>
              <w:top w:val="single" w:sz="4" w:space="0" w:color="auto"/>
              <w:left w:val="single" w:sz="4" w:space="0" w:color="auto"/>
              <w:bottom w:val="single" w:sz="4" w:space="0" w:color="auto"/>
            </w:tcBorders>
            <w:shd w:val="clear" w:color="auto" w:fill="auto"/>
          </w:tcPr>
          <w:p w14:paraId="4393ED5E"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Определение и понятия</w:t>
            </w:r>
          </w:p>
        </w:tc>
        <w:tc>
          <w:tcPr>
            <w:tcW w:w="6298" w:type="dxa"/>
            <w:tcBorders>
              <w:top w:val="single" w:sz="4" w:space="0" w:color="auto"/>
              <w:left w:val="single" w:sz="4" w:space="0" w:color="auto"/>
              <w:bottom w:val="single" w:sz="4" w:space="0" w:color="auto"/>
              <w:right w:val="single" w:sz="4" w:space="0" w:color="auto"/>
            </w:tcBorders>
            <w:shd w:val="clear" w:color="auto" w:fill="auto"/>
          </w:tcPr>
          <w:p w14:paraId="1D05FBCD"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Брой предприятия, получаващи парична подкрепа под формата на безвъзмездни средства. За определението за предприятие вж. RCO01.</w:t>
            </w:r>
          </w:p>
        </w:tc>
      </w:tr>
      <w:tr w:rsidR="004478D8" w:rsidRPr="00642C72" w14:paraId="3D3413B2" w14:textId="77777777" w:rsidTr="00D42500">
        <w:trPr>
          <w:trHeight w:hRule="exact" w:val="326"/>
          <w:jc w:val="center"/>
        </w:trPr>
        <w:tc>
          <w:tcPr>
            <w:tcW w:w="706" w:type="dxa"/>
            <w:tcBorders>
              <w:top w:val="single" w:sz="4" w:space="0" w:color="auto"/>
              <w:left w:val="single" w:sz="4" w:space="0" w:color="auto"/>
              <w:bottom w:val="single" w:sz="4" w:space="0" w:color="auto"/>
            </w:tcBorders>
            <w:shd w:val="clear" w:color="auto" w:fill="auto"/>
            <w:vAlign w:val="center"/>
          </w:tcPr>
          <w:p w14:paraId="698E97C2" w14:textId="1D3646E5"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t>8</w:t>
            </w:r>
          </w:p>
        </w:tc>
        <w:tc>
          <w:tcPr>
            <w:tcW w:w="1934" w:type="dxa"/>
            <w:tcBorders>
              <w:top w:val="single" w:sz="4" w:space="0" w:color="auto"/>
              <w:left w:val="single" w:sz="4" w:space="0" w:color="auto"/>
              <w:bottom w:val="single" w:sz="4" w:space="0" w:color="auto"/>
            </w:tcBorders>
            <w:shd w:val="clear" w:color="auto" w:fill="auto"/>
            <w:vAlign w:val="center"/>
          </w:tcPr>
          <w:p w14:paraId="1E60ECDB"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Събиране на данни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tcPr>
          <w:p w14:paraId="076B5F4F"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Система за мониторинг на УО</w:t>
            </w:r>
          </w:p>
        </w:tc>
      </w:tr>
    </w:tbl>
    <w:p w14:paraId="595D8D26" w14:textId="02D84B51" w:rsidR="004478D8" w:rsidRPr="00642C72" w:rsidRDefault="004478D8" w:rsidP="00E15221">
      <w:pPr>
        <w:tabs>
          <w:tab w:val="left" w:pos="3600"/>
        </w:tabs>
        <w:rPr>
          <w:rFonts w:ascii="Times New Roman" w:hAnsi="Times New Roman" w:cs="Times New Roman"/>
          <w:b/>
          <w:sz w:val="24"/>
          <w:szCs w:val="24"/>
        </w:rPr>
      </w:pPr>
    </w:p>
    <w:p w14:paraId="35B856F2" w14:textId="379EBACE" w:rsidR="004478D8" w:rsidRPr="00642C72" w:rsidRDefault="004478D8" w:rsidP="00E15221">
      <w:pPr>
        <w:tabs>
          <w:tab w:val="left" w:pos="3600"/>
        </w:tabs>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934"/>
        <w:gridCol w:w="6298"/>
      </w:tblGrid>
      <w:tr w:rsidR="004478D8" w:rsidRPr="00642C72" w14:paraId="0950EB65" w14:textId="77777777" w:rsidTr="00D77D8D">
        <w:trPr>
          <w:trHeight w:hRule="exact" w:val="475"/>
          <w:jc w:val="center"/>
        </w:trPr>
        <w:tc>
          <w:tcPr>
            <w:tcW w:w="706" w:type="dxa"/>
            <w:tcBorders>
              <w:top w:val="single" w:sz="4" w:space="0" w:color="auto"/>
              <w:left w:val="single" w:sz="4" w:space="0" w:color="auto"/>
            </w:tcBorders>
            <w:shd w:val="clear" w:color="auto" w:fill="C6D8F0"/>
            <w:vAlign w:val="center"/>
          </w:tcPr>
          <w:p w14:paraId="78B98052" w14:textId="77777777" w:rsidR="004478D8" w:rsidRPr="00642C72" w:rsidRDefault="004478D8" w:rsidP="00D77D8D">
            <w:pPr>
              <w:pStyle w:val="Other10"/>
              <w:spacing w:after="0"/>
              <w:jc w:val="center"/>
              <w:rPr>
                <w:rFonts w:ascii="Times New Roman" w:hAnsi="Times New Roman" w:cs="Times New Roman"/>
                <w:sz w:val="20"/>
              </w:rPr>
            </w:pPr>
            <w:r w:rsidRPr="00642C72">
              <w:rPr>
                <w:rStyle w:val="Other1"/>
                <w:rFonts w:ascii="Times New Roman" w:hAnsi="Times New Roman" w:cs="Times New Roman"/>
                <w:b/>
                <w:sz w:val="20"/>
              </w:rPr>
              <w:t>Идентификационен номер на реда</w:t>
            </w:r>
          </w:p>
        </w:tc>
        <w:tc>
          <w:tcPr>
            <w:tcW w:w="1934" w:type="dxa"/>
            <w:tcBorders>
              <w:top w:val="single" w:sz="4" w:space="0" w:color="auto"/>
              <w:left w:val="single" w:sz="4" w:space="0" w:color="auto"/>
            </w:tcBorders>
            <w:shd w:val="clear" w:color="auto" w:fill="C6D8F0"/>
          </w:tcPr>
          <w:p w14:paraId="7F7CC5DE"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Полето</w:t>
            </w:r>
          </w:p>
        </w:tc>
        <w:tc>
          <w:tcPr>
            <w:tcW w:w="6298" w:type="dxa"/>
            <w:tcBorders>
              <w:top w:val="single" w:sz="4" w:space="0" w:color="auto"/>
              <w:left w:val="single" w:sz="4" w:space="0" w:color="auto"/>
              <w:right w:val="single" w:sz="4" w:space="0" w:color="auto"/>
            </w:tcBorders>
            <w:shd w:val="clear" w:color="auto" w:fill="C6D8F0"/>
          </w:tcPr>
          <w:p w14:paraId="70BFCE0E"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Метаданни на индикатора</w:t>
            </w:r>
          </w:p>
        </w:tc>
      </w:tr>
      <w:tr w:rsidR="004478D8" w:rsidRPr="00642C72" w14:paraId="748F0F96"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0063425C"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0</w:t>
            </w:r>
          </w:p>
        </w:tc>
        <w:tc>
          <w:tcPr>
            <w:tcW w:w="1934" w:type="dxa"/>
            <w:tcBorders>
              <w:top w:val="single" w:sz="4" w:space="0" w:color="auto"/>
              <w:left w:val="single" w:sz="4" w:space="0" w:color="auto"/>
            </w:tcBorders>
            <w:shd w:val="clear" w:color="auto" w:fill="auto"/>
            <w:vAlign w:val="center"/>
          </w:tcPr>
          <w:p w14:paraId="7AF56D87"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14:paraId="3477D765" w14:textId="41BC3EF2" w:rsidR="004478D8" w:rsidRPr="00642C72" w:rsidRDefault="001269EB" w:rsidP="00D42500">
            <w:pPr>
              <w:pStyle w:val="Other10"/>
              <w:spacing w:after="0"/>
              <w:rPr>
                <w:rFonts w:ascii="Times New Roman" w:hAnsi="Times New Roman" w:cs="Times New Roman"/>
                <w:sz w:val="20"/>
              </w:rPr>
            </w:pPr>
            <w:r w:rsidRPr="00642C72">
              <w:rPr>
                <w:rStyle w:val="Other1"/>
                <w:rFonts w:ascii="Times New Roman" w:hAnsi="Times New Roman" w:cs="Times New Roman"/>
                <w:sz w:val="20"/>
              </w:rPr>
              <w:t>Фонд за справедлив преход (ФСП)</w:t>
            </w:r>
          </w:p>
        </w:tc>
      </w:tr>
      <w:tr w:rsidR="004478D8" w:rsidRPr="00642C72" w14:paraId="12050F9E"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2F55DBCA"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1</w:t>
            </w:r>
          </w:p>
        </w:tc>
        <w:tc>
          <w:tcPr>
            <w:tcW w:w="1934" w:type="dxa"/>
            <w:tcBorders>
              <w:top w:val="single" w:sz="4" w:space="0" w:color="auto"/>
              <w:left w:val="single" w:sz="4" w:space="0" w:color="auto"/>
            </w:tcBorders>
            <w:shd w:val="clear" w:color="auto" w:fill="auto"/>
            <w:vAlign w:val="center"/>
          </w:tcPr>
          <w:p w14:paraId="0BDD9640"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14:paraId="4ED9BBC3"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RCO05</w:t>
            </w:r>
          </w:p>
        </w:tc>
      </w:tr>
      <w:tr w:rsidR="004478D8" w:rsidRPr="00642C72" w14:paraId="07B42A8A"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6734E9D3"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2</w:t>
            </w:r>
          </w:p>
        </w:tc>
        <w:tc>
          <w:tcPr>
            <w:tcW w:w="1934" w:type="dxa"/>
            <w:tcBorders>
              <w:top w:val="single" w:sz="4" w:space="0" w:color="auto"/>
              <w:left w:val="single" w:sz="4" w:space="0" w:color="auto"/>
            </w:tcBorders>
            <w:shd w:val="clear" w:color="auto" w:fill="auto"/>
            <w:vAlign w:val="center"/>
          </w:tcPr>
          <w:p w14:paraId="73FB4427"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Име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097279B8"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Подпомагани нови предприятия</w:t>
            </w:r>
          </w:p>
        </w:tc>
      </w:tr>
      <w:tr w:rsidR="004478D8" w:rsidRPr="00642C72" w14:paraId="14AA3049"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25088CE1"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3</w:t>
            </w:r>
          </w:p>
        </w:tc>
        <w:tc>
          <w:tcPr>
            <w:tcW w:w="1934" w:type="dxa"/>
            <w:tcBorders>
              <w:top w:val="single" w:sz="4" w:space="0" w:color="auto"/>
              <w:left w:val="single" w:sz="4" w:space="0" w:color="auto"/>
            </w:tcBorders>
            <w:shd w:val="clear" w:color="auto" w:fill="auto"/>
            <w:vAlign w:val="center"/>
          </w:tcPr>
          <w:p w14:paraId="541150A7"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14:paraId="37500A5C"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предприятия</w:t>
            </w:r>
          </w:p>
        </w:tc>
      </w:tr>
      <w:tr w:rsidR="004478D8" w:rsidRPr="00642C72" w14:paraId="53294014"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600B1139"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4</w:t>
            </w:r>
          </w:p>
        </w:tc>
        <w:tc>
          <w:tcPr>
            <w:tcW w:w="1934" w:type="dxa"/>
            <w:tcBorders>
              <w:top w:val="single" w:sz="4" w:space="0" w:color="auto"/>
              <w:left w:val="single" w:sz="4" w:space="0" w:color="auto"/>
            </w:tcBorders>
            <w:shd w:val="clear" w:color="auto" w:fill="auto"/>
            <w:vAlign w:val="center"/>
          </w:tcPr>
          <w:p w14:paraId="23A09418"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Вид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625E3522" w14:textId="5F03ADA5" w:rsidR="004478D8" w:rsidRPr="00642C72" w:rsidRDefault="00D42500"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продукт</w:t>
            </w:r>
          </w:p>
        </w:tc>
      </w:tr>
      <w:tr w:rsidR="004478D8" w:rsidRPr="00642C72" w14:paraId="57420DE7"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08A5AE78" w14:textId="1F7B5C5C"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5</w:t>
            </w:r>
          </w:p>
        </w:tc>
        <w:tc>
          <w:tcPr>
            <w:tcW w:w="1934" w:type="dxa"/>
            <w:tcBorders>
              <w:top w:val="single" w:sz="4" w:space="0" w:color="auto"/>
              <w:left w:val="single" w:sz="4" w:space="0" w:color="auto"/>
            </w:tcBorders>
            <w:shd w:val="clear" w:color="auto" w:fill="auto"/>
            <w:vAlign w:val="center"/>
          </w:tcPr>
          <w:p w14:paraId="5722EEBC"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14:paraId="722D8486"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цели на политиката, когато е уместно и в рамките на ФСП</w:t>
            </w:r>
          </w:p>
        </w:tc>
      </w:tr>
      <w:tr w:rsidR="004478D8" w:rsidRPr="00642C72" w14:paraId="6EC17B55"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1C1C2F43" w14:textId="2DE61172"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6</w:t>
            </w:r>
          </w:p>
        </w:tc>
        <w:tc>
          <w:tcPr>
            <w:tcW w:w="1934" w:type="dxa"/>
            <w:tcBorders>
              <w:top w:val="single" w:sz="4" w:space="0" w:color="auto"/>
              <w:left w:val="single" w:sz="4" w:space="0" w:color="auto"/>
            </w:tcBorders>
            <w:shd w:val="clear" w:color="auto" w:fill="auto"/>
            <w:vAlign w:val="center"/>
          </w:tcPr>
          <w:p w14:paraId="004DD6BD"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14:paraId="4533C962"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специфични цели, когато е уместно, и ФСП</w:t>
            </w:r>
          </w:p>
        </w:tc>
      </w:tr>
      <w:tr w:rsidR="004478D8" w:rsidRPr="00642C72" w14:paraId="6B070186" w14:textId="77777777" w:rsidTr="00D42500">
        <w:trPr>
          <w:trHeight w:hRule="exact" w:val="1399"/>
          <w:jc w:val="center"/>
        </w:trPr>
        <w:tc>
          <w:tcPr>
            <w:tcW w:w="706" w:type="dxa"/>
            <w:tcBorders>
              <w:top w:val="single" w:sz="4" w:space="0" w:color="auto"/>
              <w:left w:val="single" w:sz="4" w:space="0" w:color="auto"/>
              <w:bottom w:val="single" w:sz="4" w:space="0" w:color="auto"/>
            </w:tcBorders>
            <w:shd w:val="clear" w:color="auto" w:fill="auto"/>
          </w:tcPr>
          <w:p w14:paraId="0FA56617" w14:textId="4CE0EE82"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t>7</w:t>
            </w:r>
          </w:p>
        </w:tc>
        <w:tc>
          <w:tcPr>
            <w:tcW w:w="1934" w:type="dxa"/>
            <w:tcBorders>
              <w:top w:val="single" w:sz="4" w:space="0" w:color="auto"/>
              <w:left w:val="single" w:sz="4" w:space="0" w:color="auto"/>
              <w:bottom w:val="single" w:sz="4" w:space="0" w:color="auto"/>
            </w:tcBorders>
            <w:shd w:val="clear" w:color="auto" w:fill="auto"/>
          </w:tcPr>
          <w:p w14:paraId="574A3DB8"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Определение и понятия</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bottom"/>
          </w:tcPr>
          <w:p w14:paraId="562EB2FB" w14:textId="592DA2DB" w:rsidR="004478D8" w:rsidRPr="00642C72" w:rsidRDefault="004478D8" w:rsidP="00D77D8D">
            <w:pPr>
              <w:pStyle w:val="Other10"/>
              <w:spacing w:after="0"/>
              <w:rPr>
                <w:rStyle w:val="Other1"/>
                <w:rFonts w:ascii="Times New Roman" w:hAnsi="Times New Roman" w:cs="Times New Roman"/>
                <w:sz w:val="20"/>
              </w:rPr>
            </w:pPr>
            <w:r w:rsidRPr="00642C72">
              <w:rPr>
                <w:rStyle w:val="Other1"/>
                <w:rFonts w:ascii="Times New Roman" w:hAnsi="Times New Roman" w:cs="Times New Roman"/>
                <w:sz w:val="20"/>
              </w:rPr>
              <w:t>Броят на подпомогнатите нови предприятия. Едно предприятие се счита за ново, ако не е съществувало три години преди предприятието да подаде заявление за предоставената подкрепа. Едно предприятие няма да се счита за ново, ако само правната му форма се промени. Показателят обхваща и спин-</w:t>
            </w:r>
            <w:proofErr w:type="spellStart"/>
            <w:r w:rsidRPr="00642C72">
              <w:rPr>
                <w:rStyle w:val="Other1"/>
                <w:rFonts w:ascii="Times New Roman" w:hAnsi="Times New Roman" w:cs="Times New Roman"/>
                <w:sz w:val="20"/>
              </w:rPr>
              <w:t>офовете</w:t>
            </w:r>
            <w:proofErr w:type="spellEnd"/>
            <w:r w:rsidRPr="00642C72">
              <w:rPr>
                <w:rStyle w:val="Other1"/>
                <w:rFonts w:ascii="Times New Roman" w:hAnsi="Times New Roman" w:cs="Times New Roman"/>
                <w:sz w:val="20"/>
              </w:rPr>
              <w:t>.</w:t>
            </w:r>
          </w:p>
          <w:p w14:paraId="46CD9D99" w14:textId="77777777" w:rsidR="00D42500" w:rsidRPr="00642C72" w:rsidRDefault="00D42500" w:rsidP="00D77D8D">
            <w:pPr>
              <w:pStyle w:val="Other10"/>
              <w:spacing w:after="0"/>
              <w:rPr>
                <w:rFonts w:ascii="Times New Roman" w:hAnsi="Times New Roman" w:cs="Times New Roman"/>
                <w:sz w:val="20"/>
              </w:rPr>
            </w:pPr>
          </w:p>
          <w:p w14:paraId="589519AE"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За определението за предприятие вж. RCO01.</w:t>
            </w:r>
          </w:p>
        </w:tc>
      </w:tr>
      <w:tr w:rsidR="004478D8" w:rsidRPr="00642C72" w14:paraId="12E0BC9F" w14:textId="77777777" w:rsidTr="00D42500">
        <w:trPr>
          <w:trHeight w:hRule="exact" w:val="326"/>
          <w:jc w:val="center"/>
        </w:trPr>
        <w:tc>
          <w:tcPr>
            <w:tcW w:w="706" w:type="dxa"/>
            <w:tcBorders>
              <w:top w:val="single" w:sz="4" w:space="0" w:color="auto"/>
              <w:left w:val="single" w:sz="4" w:space="0" w:color="auto"/>
              <w:bottom w:val="single" w:sz="4" w:space="0" w:color="auto"/>
            </w:tcBorders>
            <w:shd w:val="clear" w:color="auto" w:fill="auto"/>
            <w:vAlign w:val="center"/>
          </w:tcPr>
          <w:p w14:paraId="06D25F4E" w14:textId="06F14C44"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t>8</w:t>
            </w:r>
          </w:p>
        </w:tc>
        <w:tc>
          <w:tcPr>
            <w:tcW w:w="1934" w:type="dxa"/>
            <w:tcBorders>
              <w:top w:val="single" w:sz="4" w:space="0" w:color="auto"/>
              <w:left w:val="single" w:sz="4" w:space="0" w:color="auto"/>
              <w:bottom w:val="single" w:sz="4" w:space="0" w:color="auto"/>
            </w:tcBorders>
            <w:shd w:val="clear" w:color="auto" w:fill="auto"/>
            <w:vAlign w:val="center"/>
          </w:tcPr>
          <w:p w14:paraId="4F9EDCEC"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Събиране на данни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tcPr>
          <w:p w14:paraId="1C8E1C4F"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Система за мониторинг на УО</w:t>
            </w:r>
          </w:p>
        </w:tc>
      </w:tr>
    </w:tbl>
    <w:p w14:paraId="5F71364B" w14:textId="0A8DC28C" w:rsidR="004478D8" w:rsidRPr="00642C72" w:rsidRDefault="004478D8" w:rsidP="00E15221">
      <w:pPr>
        <w:tabs>
          <w:tab w:val="left" w:pos="3600"/>
        </w:tabs>
        <w:rPr>
          <w:rFonts w:ascii="Times New Roman" w:hAnsi="Times New Roman" w:cs="Times New Roman"/>
          <w:b/>
          <w:sz w:val="24"/>
          <w:szCs w:val="24"/>
        </w:rPr>
      </w:pPr>
    </w:p>
    <w:p w14:paraId="7B6D1D3E" w14:textId="2FCBBF77" w:rsidR="004478D8" w:rsidRPr="00642C72" w:rsidRDefault="004478D8" w:rsidP="00E15221">
      <w:pPr>
        <w:tabs>
          <w:tab w:val="left" w:pos="3600"/>
        </w:tabs>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934"/>
        <w:gridCol w:w="6298"/>
      </w:tblGrid>
      <w:tr w:rsidR="004478D8" w:rsidRPr="00642C72" w14:paraId="5928D407" w14:textId="77777777" w:rsidTr="00D77D8D">
        <w:trPr>
          <w:trHeight w:hRule="exact" w:val="475"/>
          <w:jc w:val="center"/>
        </w:trPr>
        <w:tc>
          <w:tcPr>
            <w:tcW w:w="706" w:type="dxa"/>
            <w:tcBorders>
              <w:top w:val="single" w:sz="4" w:space="0" w:color="auto"/>
              <w:left w:val="single" w:sz="4" w:space="0" w:color="auto"/>
            </w:tcBorders>
            <w:shd w:val="clear" w:color="auto" w:fill="C6D8F0"/>
            <w:vAlign w:val="center"/>
          </w:tcPr>
          <w:p w14:paraId="0C087508" w14:textId="77777777" w:rsidR="004478D8" w:rsidRPr="00642C72" w:rsidRDefault="004478D8" w:rsidP="00D77D8D">
            <w:pPr>
              <w:pStyle w:val="Other10"/>
              <w:spacing w:after="0"/>
              <w:jc w:val="center"/>
              <w:rPr>
                <w:rFonts w:ascii="Times New Roman" w:hAnsi="Times New Roman" w:cs="Times New Roman"/>
                <w:sz w:val="20"/>
              </w:rPr>
            </w:pPr>
            <w:r w:rsidRPr="00642C72">
              <w:rPr>
                <w:rStyle w:val="Other1"/>
                <w:rFonts w:ascii="Times New Roman" w:hAnsi="Times New Roman" w:cs="Times New Roman"/>
                <w:b/>
                <w:sz w:val="20"/>
              </w:rPr>
              <w:t>Идентификационен номер на реда</w:t>
            </w:r>
          </w:p>
        </w:tc>
        <w:tc>
          <w:tcPr>
            <w:tcW w:w="1934" w:type="dxa"/>
            <w:tcBorders>
              <w:top w:val="single" w:sz="4" w:space="0" w:color="auto"/>
              <w:left w:val="single" w:sz="4" w:space="0" w:color="auto"/>
            </w:tcBorders>
            <w:shd w:val="clear" w:color="auto" w:fill="C6D8F0"/>
          </w:tcPr>
          <w:p w14:paraId="3B7E58D9"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Полето</w:t>
            </w:r>
          </w:p>
        </w:tc>
        <w:tc>
          <w:tcPr>
            <w:tcW w:w="6298" w:type="dxa"/>
            <w:tcBorders>
              <w:top w:val="single" w:sz="4" w:space="0" w:color="auto"/>
              <w:left w:val="single" w:sz="4" w:space="0" w:color="auto"/>
              <w:right w:val="single" w:sz="4" w:space="0" w:color="auto"/>
            </w:tcBorders>
            <w:shd w:val="clear" w:color="auto" w:fill="C6D8F0"/>
          </w:tcPr>
          <w:p w14:paraId="7923455C"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Метаданни на индикатора</w:t>
            </w:r>
          </w:p>
        </w:tc>
      </w:tr>
      <w:tr w:rsidR="004478D8" w:rsidRPr="00642C72" w14:paraId="3AA7730E"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0E5B0941"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0</w:t>
            </w:r>
          </w:p>
        </w:tc>
        <w:tc>
          <w:tcPr>
            <w:tcW w:w="1934" w:type="dxa"/>
            <w:tcBorders>
              <w:top w:val="single" w:sz="4" w:space="0" w:color="auto"/>
              <w:left w:val="single" w:sz="4" w:space="0" w:color="auto"/>
            </w:tcBorders>
            <w:shd w:val="clear" w:color="auto" w:fill="auto"/>
            <w:vAlign w:val="center"/>
          </w:tcPr>
          <w:p w14:paraId="557ECDFD"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14:paraId="7CB158C5" w14:textId="3E6412CB" w:rsidR="004478D8" w:rsidRPr="00642C72" w:rsidRDefault="001269EB" w:rsidP="00D42500">
            <w:pPr>
              <w:pStyle w:val="Other10"/>
              <w:spacing w:after="0"/>
              <w:rPr>
                <w:rFonts w:ascii="Times New Roman" w:hAnsi="Times New Roman" w:cs="Times New Roman"/>
                <w:sz w:val="20"/>
              </w:rPr>
            </w:pPr>
            <w:r w:rsidRPr="00642C72">
              <w:rPr>
                <w:rStyle w:val="Other1"/>
                <w:rFonts w:ascii="Times New Roman" w:hAnsi="Times New Roman" w:cs="Times New Roman"/>
                <w:sz w:val="20"/>
              </w:rPr>
              <w:t>Фонд за справедлив преход (ФСП)</w:t>
            </w:r>
          </w:p>
        </w:tc>
      </w:tr>
      <w:tr w:rsidR="004478D8" w:rsidRPr="00642C72" w14:paraId="45F3F1C3"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44F5B2BB"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1</w:t>
            </w:r>
          </w:p>
        </w:tc>
        <w:tc>
          <w:tcPr>
            <w:tcW w:w="1934" w:type="dxa"/>
            <w:tcBorders>
              <w:top w:val="single" w:sz="4" w:space="0" w:color="auto"/>
              <w:left w:val="single" w:sz="4" w:space="0" w:color="auto"/>
            </w:tcBorders>
            <w:shd w:val="clear" w:color="auto" w:fill="auto"/>
            <w:vAlign w:val="center"/>
          </w:tcPr>
          <w:p w14:paraId="20D69730"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14:paraId="6372CB73"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RCR01</w:t>
            </w:r>
          </w:p>
        </w:tc>
      </w:tr>
      <w:tr w:rsidR="004478D8" w:rsidRPr="00642C72" w14:paraId="1C17B83B"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3A8EB0C3"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2</w:t>
            </w:r>
          </w:p>
        </w:tc>
        <w:tc>
          <w:tcPr>
            <w:tcW w:w="1934" w:type="dxa"/>
            <w:tcBorders>
              <w:top w:val="single" w:sz="4" w:space="0" w:color="auto"/>
              <w:left w:val="single" w:sz="4" w:space="0" w:color="auto"/>
            </w:tcBorders>
            <w:shd w:val="clear" w:color="auto" w:fill="auto"/>
            <w:vAlign w:val="center"/>
          </w:tcPr>
          <w:p w14:paraId="0F200A66"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Име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5B3BB190"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Създаване на работни места в подпомагани субекти</w:t>
            </w:r>
          </w:p>
        </w:tc>
      </w:tr>
      <w:tr w:rsidR="004478D8" w:rsidRPr="00642C72" w14:paraId="41D549F2"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60B2C1C1"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3</w:t>
            </w:r>
          </w:p>
        </w:tc>
        <w:tc>
          <w:tcPr>
            <w:tcW w:w="1934" w:type="dxa"/>
            <w:tcBorders>
              <w:top w:val="single" w:sz="4" w:space="0" w:color="auto"/>
              <w:left w:val="single" w:sz="4" w:space="0" w:color="auto"/>
            </w:tcBorders>
            <w:shd w:val="clear" w:color="auto" w:fill="auto"/>
            <w:vAlign w:val="center"/>
          </w:tcPr>
          <w:p w14:paraId="44BFF7DB"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14:paraId="1394783C"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годишни ЕПРВ</w:t>
            </w:r>
          </w:p>
        </w:tc>
      </w:tr>
      <w:tr w:rsidR="004478D8" w:rsidRPr="00642C72" w14:paraId="4757DD2B"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2E82B2F0"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4</w:t>
            </w:r>
          </w:p>
        </w:tc>
        <w:tc>
          <w:tcPr>
            <w:tcW w:w="1934" w:type="dxa"/>
            <w:tcBorders>
              <w:top w:val="single" w:sz="4" w:space="0" w:color="auto"/>
              <w:left w:val="single" w:sz="4" w:space="0" w:color="auto"/>
            </w:tcBorders>
            <w:shd w:val="clear" w:color="auto" w:fill="auto"/>
            <w:vAlign w:val="center"/>
          </w:tcPr>
          <w:p w14:paraId="67177BD9"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Вид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0AF72BCC"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резултат</w:t>
            </w:r>
          </w:p>
        </w:tc>
      </w:tr>
      <w:tr w:rsidR="004478D8" w:rsidRPr="00642C72" w14:paraId="1A63B1DA"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46534371" w14:textId="33935A1B"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5</w:t>
            </w:r>
          </w:p>
        </w:tc>
        <w:tc>
          <w:tcPr>
            <w:tcW w:w="1934" w:type="dxa"/>
            <w:tcBorders>
              <w:top w:val="single" w:sz="4" w:space="0" w:color="auto"/>
              <w:left w:val="single" w:sz="4" w:space="0" w:color="auto"/>
            </w:tcBorders>
            <w:shd w:val="clear" w:color="auto" w:fill="auto"/>
            <w:vAlign w:val="center"/>
          </w:tcPr>
          <w:p w14:paraId="034F2776"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14:paraId="0EA99271"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цели на политиката, когато е уместно и в рамките на ФСП</w:t>
            </w:r>
          </w:p>
        </w:tc>
      </w:tr>
      <w:tr w:rsidR="004478D8" w:rsidRPr="00642C72" w14:paraId="0DA1433C"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7DAAB688" w14:textId="228A9008"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lastRenderedPageBreak/>
              <w:t>6</w:t>
            </w:r>
          </w:p>
        </w:tc>
        <w:tc>
          <w:tcPr>
            <w:tcW w:w="1934" w:type="dxa"/>
            <w:tcBorders>
              <w:top w:val="single" w:sz="4" w:space="0" w:color="auto"/>
              <w:left w:val="single" w:sz="4" w:space="0" w:color="auto"/>
            </w:tcBorders>
            <w:shd w:val="clear" w:color="auto" w:fill="auto"/>
            <w:vAlign w:val="center"/>
          </w:tcPr>
          <w:p w14:paraId="19298468"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14:paraId="68C94D24"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специфични цели, когато е уместно, и ФСП</w:t>
            </w:r>
          </w:p>
        </w:tc>
      </w:tr>
      <w:tr w:rsidR="004478D8" w:rsidRPr="00642C72" w14:paraId="172A5F14" w14:textId="77777777" w:rsidTr="00D42500">
        <w:trPr>
          <w:trHeight w:hRule="exact" w:val="4147"/>
          <w:jc w:val="center"/>
        </w:trPr>
        <w:tc>
          <w:tcPr>
            <w:tcW w:w="706" w:type="dxa"/>
            <w:tcBorders>
              <w:top w:val="single" w:sz="4" w:space="0" w:color="auto"/>
              <w:left w:val="single" w:sz="4" w:space="0" w:color="auto"/>
              <w:bottom w:val="single" w:sz="4" w:space="0" w:color="auto"/>
            </w:tcBorders>
            <w:shd w:val="clear" w:color="auto" w:fill="auto"/>
          </w:tcPr>
          <w:p w14:paraId="7E9D1083" w14:textId="24236E04"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t>7</w:t>
            </w:r>
          </w:p>
        </w:tc>
        <w:tc>
          <w:tcPr>
            <w:tcW w:w="1934" w:type="dxa"/>
            <w:tcBorders>
              <w:top w:val="single" w:sz="4" w:space="0" w:color="auto"/>
              <w:left w:val="single" w:sz="4" w:space="0" w:color="auto"/>
              <w:bottom w:val="single" w:sz="4" w:space="0" w:color="auto"/>
            </w:tcBorders>
            <w:shd w:val="clear" w:color="auto" w:fill="auto"/>
          </w:tcPr>
          <w:p w14:paraId="6A8F68E0"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Определение и понятия</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bottom"/>
          </w:tcPr>
          <w:p w14:paraId="1AB739CF"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Брой работни места, изразен в средногодишни еквиваленти на пълно работно време (ЕПРВ), създадени в съответствие с дейностите, подкрепяни от проекта. Новите позиции трябва да бъдат запълнени и те могат да бъдат на пълно работно време, на непълно работно време или да се повтарят сезонно. Свободните позиции не се броят. Освен това се очаква новосъздадените позиции да бъдат запазени повече от една година след приключването на проекта. Показателят се изчислява като разликата между годишните ЕПРВ, запълнени преди началото на проекта, и една година след приключването на проекта по линия на подпомаганата дейност.</w:t>
            </w:r>
          </w:p>
          <w:p w14:paraId="02318B47"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Годишната ЕПРВ се определя като съотношението на действително отработените работни часове през календарната година, разделено на общия брой часове, отработени по конвенционален начин през същия период от физическо лице или група. По правило дадено лице не може да изпълнява повече от един ЕПРВ на годишна основа. Броят на обичайно отработените часове се определя въз основа на нормативно/законно работно време в съответствие с националното законодателство.</w:t>
            </w:r>
          </w:p>
          <w:p w14:paraId="41B8C470"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Лицето на пълно работно време ще бъде идентифицирано в зависимост от трудовия му статус и вида на договора (на пълно или непълно работно време).</w:t>
            </w:r>
          </w:p>
          <w:p w14:paraId="6854C585"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Този показател не следва да се използва за покриване на работни места в областта на научните изследвания, които следва да се отчитат в RCR102.</w:t>
            </w:r>
          </w:p>
        </w:tc>
      </w:tr>
      <w:tr w:rsidR="004478D8" w:rsidRPr="00642C72" w14:paraId="1868A682" w14:textId="77777777" w:rsidTr="00D42500">
        <w:trPr>
          <w:trHeight w:hRule="exact" w:val="326"/>
          <w:jc w:val="center"/>
        </w:trPr>
        <w:tc>
          <w:tcPr>
            <w:tcW w:w="706" w:type="dxa"/>
            <w:tcBorders>
              <w:top w:val="single" w:sz="4" w:space="0" w:color="auto"/>
              <w:left w:val="single" w:sz="4" w:space="0" w:color="auto"/>
              <w:bottom w:val="single" w:sz="4" w:space="0" w:color="auto"/>
            </w:tcBorders>
            <w:shd w:val="clear" w:color="auto" w:fill="auto"/>
            <w:vAlign w:val="center"/>
          </w:tcPr>
          <w:p w14:paraId="4F8E3AFC" w14:textId="082F1449"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t>8</w:t>
            </w:r>
          </w:p>
        </w:tc>
        <w:tc>
          <w:tcPr>
            <w:tcW w:w="1934" w:type="dxa"/>
            <w:tcBorders>
              <w:top w:val="single" w:sz="4" w:space="0" w:color="auto"/>
              <w:left w:val="single" w:sz="4" w:space="0" w:color="auto"/>
              <w:bottom w:val="single" w:sz="4" w:space="0" w:color="auto"/>
            </w:tcBorders>
            <w:shd w:val="clear" w:color="auto" w:fill="auto"/>
            <w:vAlign w:val="center"/>
          </w:tcPr>
          <w:p w14:paraId="1E79C2A5"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Събиране на данни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tcPr>
          <w:p w14:paraId="402CF966"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Подпомагани проекти</w:t>
            </w:r>
          </w:p>
        </w:tc>
      </w:tr>
    </w:tbl>
    <w:p w14:paraId="53163F67" w14:textId="48AE660B" w:rsidR="004478D8" w:rsidRPr="00642C72" w:rsidRDefault="004478D8" w:rsidP="00E15221">
      <w:pPr>
        <w:tabs>
          <w:tab w:val="left" w:pos="3600"/>
        </w:tabs>
        <w:rPr>
          <w:rFonts w:ascii="Times New Roman" w:hAnsi="Times New Roman" w:cs="Times New Roman"/>
          <w:b/>
          <w:sz w:val="24"/>
          <w:szCs w:val="24"/>
        </w:rPr>
      </w:pPr>
    </w:p>
    <w:p w14:paraId="0AD58653" w14:textId="344CCD4A" w:rsidR="004478D8" w:rsidRPr="00642C72" w:rsidRDefault="004478D8" w:rsidP="00E15221">
      <w:pPr>
        <w:tabs>
          <w:tab w:val="left" w:pos="3600"/>
        </w:tabs>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934"/>
        <w:gridCol w:w="6298"/>
      </w:tblGrid>
      <w:tr w:rsidR="004478D8" w:rsidRPr="00642C72" w14:paraId="0EE2B8B5" w14:textId="77777777" w:rsidTr="00D77D8D">
        <w:trPr>
          <w:trHeight w:hRule="exact" w:val="475"/>
          <w:jc w:val="center"/>
        </w:trPr>
        <w:tc>
          <w:tcPr>
            <w:tcW w:w="706" w:type="dxa"/>
            <w:tcBorders>
              <w:top w:val="single" w:sz="4" w:space="0" w:color="auto"/>
              <w:left w:val="single" w:sz="4" w:space="0" w:color="auto"/>
            </w:tcBorders>
            <w:shd w:val="clear" w:color="auto" w:fill="C6D8F0"/>
            <w:vAlign w:val="center"/>
          </w:tcPr>
          <w:p w14:paraId="4F174671" w14:textId="77777777" w:rsidR="004478D8" w:rsidRPr="00642C72" w:rsidRDefault="004478D8" w:rsidP="00D77D8D">
            <w:pPr>
              <w:pStyle w:val="Other10"/>
              <w:spacing w:after="0"/>
              <w:jc w:val="center"/>
              <w:rPr>
                <w:rFonts w:ascii="Times New Roman" w:hAnsi="Times New Roman" w:cs="Times New Roman"/>
                <w:sz w:val="20"/>
              </w:rPr>
            </w:pPr>
            <w:r w:rsidRPr="00642C72">
              <w:rPr>
                <w:rStyle w:val="Other1"/>
                <w:rFonts w:ascii="Times New Roman" w:hAnsi="Times New Roman" w:cs="Times New Roman"/>
                <w:b/>
                <w:sz w:val="20"/>
              </w:rPr>
              <w:t>Идентификационен номер на реда</w:t>
            </w:r>
          </w:p>
        </w:tc>
        <w:tc>
          <w:tcPr>
            <w:tcW w:w="1934" w:type="dxa"/>
            <w:tcBorders>
              <w:top w:val="single" w:sz="4" w:space="0" w:color="auto"/>
              <w:left w:val="single" w:sz="4" w:space="0" w:color="auto"/>
            </w:tcBorders>
            <w:shd w:val="clear" w:color="auto" w:fill="C6D8F0"/>
          </w:tcPr>
          <w:p w14:paraId="4AF63D2F"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Полето</w:t>
            </w:r>
          </w:p>
        </w:tc>
        <w:tc>
          <w:tcPr>
            <w:tcW w:w="6298" w:type="dxa"/>
            <w:tcBorders>
              <w:top w:val="single" w:sz="4" w:space="0" w:color="auto"/>
              <w:left w:val="single" w:sz="4" w:space="0" w:color="auto"/>
              <w:right w:val="single" w:sz="4" w:space="0" w:color="auto"/>
            </w:tcBorders>
            <w:shd w:val="clear" w:color="auto" w:fill="C6D8F0"/>
          </w:tcPr>
          <w:p w14:paraId="63960FA2"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Метаданни на индикатора</w:t>
            </w:r>
          </w:p>
        </w:tc>
      </w:tr>
      <w:tr w:rsidR="004478D8" w:rsidRPr="00642C72" w14:paraId="21BAB17D"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2AD4BF16"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0</w:t>
            </w:r>
          </w:p>
        </w:tc>
        <w:tc>
          <w:tcPr>
            <w:tcW w:w="1934" w:type="dxa"/>
            <w:tcBorders>
              <w:top w:val="single" w:sz="4" w:space="0" w:color="auto"/>
              <w:left w:val="single" w:sz="4" w:space="0" w:color="auto"/>
            </w:tcBorders>
            <w:shd w:val="clear" w:color="auto" w:fill="auto"/>
            <w:vAlign w:val="center"/>
          </w:tcPr>
          <w:p w14:paraId="3EB385D6"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14:paraId="08222A3A" w14:textId="6EF79AF1" w:rsidR="004478D8" w:rsidRPr="00642C72" w:rsidRDefault="001269EB" w:rsidP="00D42500">
            <w:pPr>
              <w:pStyle w:val="Other10"/>
              <w:spacing w:after="0"/>
              <w:rPr>
                <w:rFonts w:ascii="Times New Roman" w:hAnsi="Times New Roman" w:cs="Times New Roman"/>
                <w:sz w:val="20"/>
              </w:rPr>
            </w:pPr>
            <w:r w:rsidRPr="00642C72">
              <w:rPr>
                <w:rStyle w:val="Other1"/>
                <w:rFonts w:ascii="Times New Roman" w:hAnsi="Times New Roman" w:cs="Times New Roman"/>
                <w:sz w:val="20"/>
              </w:rPr>
              <w:t>Фонд за справедлив преход (ФСП)</w:t>
            </w:r>
          </w:p>
        </w:tc>
      </w:tr>
      <w:tr w:rsidR="004478D8" w:rsidRPr="00642C72" w14:paraId="41F36EDF"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1237C7A7"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1</w:t>
            </w:r>
          </w:p>
        </w:tc>
        <w:tc>
          <w:tcPr>
            <w:tcW w:w="1934" w:type="dxa"/>
            <w:tcBorders>
              <w:top w:val="single" w:sz="4" w:space="0" w:color="auto"/>
              <w:left w:val="single" w:sz="4" w:space="0" w:color="auto"/>
            </w:tcBorders>
            <w:shd w:val="clear" w:color="auto" w:fill="auto"/>
            <w:vAlign w:val="center"/>
          </w:tcPr>
          <w:p w14:paraId="00F310D6"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14:paraId="07D999F1"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RCR98</w:t>
            </w:r>
          </w:p>
        </w:tc>
      </w:tr>
      <w:tr w:rsidR="004478D8" w:rsidRPr="00642C72" w14:paraId="63B99322" w14:textId="77777777" w:rsidTr="00D77D8D">
        <w:trPr>
          <w:trHeight w:hRule="exact" w:val="701"/>
          <w:jc w:val="center"/>
        </w:trPr>
        <w:tc>
          <w:tcPr>
            <w:tcW w:w="706" w:type="dxa"/>
            <w:tcBorders>
              <w:top w:val="single" w:sz="4" w:space="0" w:color="auto"/>
              <w:left w:val="single" w:sz="4" w:space="0" w:color="auto"/>
            </w:tcBorders>
            <w:shd w:val="clear" w:color="auto" w:fill="auto"/>
          </w:tcPr>
          <w:p w14:paraId="32F12875"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2</w:t>
            </w:r>
          </w:p>
        </w:tc>
        <w:tc>
          <w:tcPr>
            <w:tcW w:w="1934" w:type="dxa"/>
            <w:tcBorders>
              <w:top w:val="single" w:sz="4" w:space="0" w:color="auto"/>
              <w:left w:val="single" w:sz="4" w:space="0" w:color="auto"/>
            </w:tcBorders>
            <w:shd w:val="clear" w:color="auto" w:fill="auto"/>
          </w:tcPr>
          <w:p w14:paraId="68A9DE94"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b/>
                <w:sz w:val="20"/>
              </w:rPr>
              <w:t>Име на показателя</w:t>
            </w:r>
          </w:p>
        </w:tc>
        <w:tc>
          <w:tcPr>
            <w:tcW w:w="6298" w:type="dxa"/>
            <w:tcBorders>
              <w:top w:val="single" w:sz="4" w:space="0" w:color="auto"/>
              <w:left w:val="single" w:sz="4" w:space="0" w:color="auto"/>
              <w:right w:val="single" w:sz="4" w:space="0" w:color="auto"/>
            </w:tcBorders>
            <w:shd w:val="clear" w:color="auto" w:fill="auto"/>
            <w:vAlign w:val="bottom"/>
          </w:tcPr>
          <w:p w14:paraId="57CCB7F2"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Персонал на МСП, завършващ обучение за умения за интелигентна специализация, за промишлен преход и предприемачество (по вид умения: технически, управленски, предприемачески, екологични, други)</w:t>
            </w:r>
          </w:p>
        </w:tc>
      </w:tr>
      <w:tr w:rsidR="004478D8" w:rsidRPr="00642C72" w14:paraId="15885AF8" w14:textId="77777777" w:rsidTr="00D77D8D">
        <w:trPr>
          <w:trHeight w:hRule="exact" w:val="322"/>
          <w:jc w:val="center"/>
        </w:trPr>
        <w:tc>
          <w:tcPr>
            <w:tcW w:w="706" w:type="dxa"/>
            <w:tcBorders>
              <w:top w:val="single" w:sz="4" w:space="0" w:color="auto"/>
              <w:left w:val="single" w:sz="4" w:space="0" w:color="auto"/>
            </w:tcBorders>
            <w:shd w:val="clear" w:color="auto" w:fill="auto"/>
            <w:vAlign w:val="center"/>
          </w:tcPr>
          <w:p w14:paraId="1A9481B3"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3</w:t>
            </w:r>
          </w:p>
        </w:tc>
        <w:tc>
          <w:tcPr>
            <w:tcW w:w="1934" w:type="dxa"/>
            <w:tcBorders>
              <w:top w:val="single" w:sz="4" w:space="0" w:color="auto"/>
              <w:left w:val="single" w:sz="4" w:space="0" w:color="auto"/>
            </w:tcBorders>
            <w:shd w:val="clear" w:color="auto" w:fill="auto"/>
            <w:vAlign w:val="center"/>
          </w:tcPr>
          <w:p w14:paraId="4E407782"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14:paraId="1A359B02"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участници</w:t>
            </w:r>
          </w:p>
        </w:tc>
      </w:tr>
      <w:tr w:rsidR="004478D8" w:rsidRPr="00642C72" w14:paraId="7D9EF914" w14:textId="77777777" w:rsidTr="00D77D8D">
        <w:trPr>
          <w:trHeight w:hRule="exact" w:val="326"/>
          <w:jc w:val="center"/>
        </w:trPr>
        <w:tc>
          <w:tcPr>
            <w:tcW w:w="706" w:type="dxa"/>
            <w:tcBorders>
              <w:top w:val="single" w:sz="4" w:space="0" w:color="auto"/>
              <w:left w:val="single" w:sz="4" w:space="0" w:color="auto"/>
            </w:tcBorders>
            <w:shd w:val="clear" w:color="auto" w:fill="auto"/>
            <w:vAlign w:val="center"/>
          </w:tcPr>
          <w:p w14:paraId="2B169B43" w14:textId="77777777" w:rsidR="004478D8" w:rsidRPr="00642C72" w:rsidRDefault="004478D8"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4</w:t>
            </w:r>
          </w:p>
        </w:tc>
        <w:tc>
          <w:tcPr>
            <w:tcW w:w="1934" w:type="dxa"/>
            <w:tcBorders>
              <w:top w:val="single" w:sz="4" w:space="0" w:color="auto"/>
              <w:left w:val="single" w:sz="4" w:space="0" w:color="auto"/>
            </w:tcBorders>
            <w:shd w:val="clear" w:color="auto" w:fill="auto"/>
            <w:vAlign w:val="center"/>
          </w:tcPr>
          <w:p w14:paraId="1D4F118A"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Вид на показателя</w:t>
            </w:r>
          </w:p>
        </w:tc>
        <w:tc>
          <w:tcPr>
            <w:tcW w:w="6298" w:type="dxa"/>
            <w:tcBorders>
              <w:top w:val="single" w:sz="4" w:space="0" w:color="auto"/>
              <w:left w:val="single" w:sz="4" w:space="0" w:color="auto"/>
              <w:right w:val="single" w:sz="4" w:space="0" w:color="auto"/>
            </w:tcBorders>
            <w:shd w:val="clear" w:color="auto" w:fill="auto"/>
            <w:vAlign w:val="center"/>
          </w:tcPr>
          <w:p w14:paraId="7D609772"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резултат</w:t>
            </w:r>
          </w:p>
        </w:tc>
      </w:tr>
      <w:tr w:rsidR="004478D8" w:rsidRPr="00642C72" w14:paraId="044BD99E" w14:textId="77777777" w:rsidTr="001269EB">
        <w:trPr>
          <w:trHeight w:hRule="exact" w:val="541"/>
          <w:jc w:val="center"/>
        </w:trPr>
        <w:tc>
          <w:tcPr>
            <w:tcW w:w="706" w:type="dxa"/>
            <w:tcBorders>
              <w:top w:val="single" w:sz="4" w:space="0" w:color="auto"/>
              <w:left w:val="single" w:sz="4" w:space="0" w:color="auto"/>
            </w:tcBorders>
            <w:shd w:val="clear" w:color="auto" w:fill="auto"/>
            <w:vAlign w:val="center"/>
          </w:tcPr>
          <w:p w14:paraId="7E56B7B7" w14:textId="7EC685FE"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5</w:t>
            </w:r>
          </w:p>
        </w:tc>
        <w:tc>
          <w:tcPr>
            <w:tcW w:w="1934" w:type="dxa"/>
            <w:tcBorders>
              <w:top w:val="single" w:sz="4" w:space="0" w:color="auto"/>
              <w:left w:val="single" w:sz="4" w:space="0" w:color="auto"/>
            </w:tcBorders>
            <w:shd w:val="clear" w:color="auto" w:fill="auto"/>
            <w:vAlign w:val="center"/>
          </w:tcPr>
          <w:p w14:paraId="5FD2E3EF"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14:paraId="387F3CCA"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цели на политиката, когато е уместно и в рамките на ФСП</w:t>
            </w:r>
          </w:p>
        </w:tc>
      </w:tr>
      <w:tr w:rsidR="004478D8" w:rsidRPr="00642C72" w14:paraId="73F35342" w14:textId="77777777" w:rsidTr="001269EB">
        <w:trPr>
          <w:trHeight w:hRule="exact" w:val="457"/>
          <w:jc w:val="center"/>
        </w:trPr>
        <w:tc>
          <w:tcPr>
            <w:tcW w:w="706" w:type="dxa"/>
            <w:tcBorders>
              <w:top w:val="single" w:sz="4" w:space="0" w:color="auto"/>
              <w:left w:val="single" w:sz="4" w:space="0" w:color="auto"/>
            </w:tcBorders>
            <w:shd w:val="clear" w:color="auto" w:fill="auto"/>
            <w:vAlign w:val="center"/>
          </w:tcPr>
          <w:p w14:paraId="6CE839C5" w14:textId="0BEE02EE" w:rsidR="004478D8" w:rsidRPr="00642C72" w:rsidRDefault="00D42500" w:rsidP="00D77D8D">
            <w:pPr>
              <w:pStyle w:val="Other10"/>
              <w:spacing w:after="0"/>
              <w:ind w:firstLine="300"/>
              <w:rPr>
                <w:rFonts w:ascii="Times New Roman" w:hAnsi="Times New Roman" w:cs="Times New Roman"/>
                <w:sz w:val="20"/>
              </w:rPr>
            </w:pPr>
            <w:r w:rsidRPr="00642C72">
              <w:rPr>
                <w:rStyle w:val="Other1"/>
                <w:rFonts w:ascii="Times New Roman" w:hAnsi="Times New Roman" w:cs="Times New Roman"/>
                <w:sz w:val="20"/>
              </w:rPr>
              <w:t>6</w:t>
            </w:r>
          </w:p>
        </w:tc>
        <w:tc>
          <w:tcPr>
            <w:tcW w:w="1934" w:type="dxa"/>
            <w:tcBorders>
              <w:top w:val="single" w:sz="4" w:space="0" w:color="auto"/>
              <w:left w:val="single" w:sz="4" w:space="0" w:color="auto"/>
            </w:tcBorders>
            <w:shd w:val="clear" w:color="auto" w:fill="auto"/>
            <w:vAlign w:val="center"/>
          </w:tcPr>
          <w:p w14:paraId="23FD1D53"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14:paraId="405ABC37"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Използване във всички специфични цели, когато е уместно и по ФСП</w:t>
            </w:r>
          </w:p>
        </w:tc>
      </w:tr>
      <w:tr w:rsidR="004478D8" w:rsidRPr="00642C72" w14:paraId="24353005" w14:textId="77777777" w:rsidTr="00D42500">
        <w:trPr>
          <w:trHeight w:hRule="exact" w:val="4608"/>
          <w:jc w:val="center"/>
        </w:trPr>
        <w:tc>
          <w:tcPr>
            <w:tcW w:w="706" w:type="dxa"/>
            <w:tcBorders>
              <w:top w:val="single" w:sz="4" w:space="0" w:color="auto"/>
              <w:left w:val="single" w:sz="4" w:space="0" w:color="auto"/>
              <w:bottom w:val="single" w:sz="4" w:space="0" w:color="auto"/>
            </w:tcBorders>
            <w:shd w:val="clear" w:color="auto" w:fill="auto"/>
          </w:tcPr>
          <w:p w14:paraId="58CDFD8A" w14:textId="01AC310B"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lastRenderedPageBreak/>
              <w:t>7</w:t>
            </w:r>
          </w:p>
        </w:tc>
        <w:tc>
          <w:tcPr>
            <w:tcW w:w="1934" w:type="dxa"/>
            <w:tcBorders>
              <w:top w:val="single" w:sz="4" w:space="0" w:color="auto"/>
              <w:left w:val="single" w:sz="4" w:space="0" w:color="auto"/>
              <w:bottom w:val="single" w:sz="4" w:space="0" w:color="auto"/>
            </w:tcBorders>
            <w:shd w:val="clear" w:color="auto" w:fill="auto"/>
          </w:tcPr>
          <w:p w14:paraId="71848CFE"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Определение и понятия</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bottom"/>
          </w:tcPr>
          <w:p w14:paraId="0521E1C4"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 xml:space="preserve">Брой участници от МСП (включително </w:t>
            </w:r>
            <w:proofErr w:type="spellStart"/>
            <w:r w:rsidRPr="00642C72">
              <w:rPr>
                <w:rStyle w:val="Other1"/>
                <w:rFonts w:ascii="Times New Roman" w:hAnsi="Times New Roman" w:cs="Times New Roman"/>
                <w:sz w:val="20"/>
              </w:rPr>
              <w:t>микропредприятия</w:t>
            </w:r>
            <w:proofErr w:type="spellEnd"/>
            <w:r w:rsidRPr="00642C72">
              <w:rPr>
                <w:rStyle w:val="Other1"/>
                <w:rFonts w:ascii="Times New Roman" w:hAnsi="Times New Roman" w:cs="Times New Roman"/>
                <w:sz w:val="20"/>
              </w:rPr>
              <w:t>), които завършват обучение/дейност за развитие на умения за интелигентна специализация, за промишлен преход и предприемачество. Видовете умения включват следните категории:</w:t>
            </w:r>
          </w:p>
          <w:p w14:paraId="7FDEC87B" w14:textId="77777777" w:rsidR="004478D8" w:rsidRPr="00642C72" w:rsidRDefault="004478D8" w:rsidP="004478D8">
            <w:pPr>
              <w:pStyle w:val="Other10"/>
              <w:numPr>
                <w:ilvl w:val="0"/>
                <w:numId w:val="1"/>
              </w:numPr>
              <w:tabs>
                <w:tab w:val="left" w:pos="120"/>
              </w:tabs>
              <w:spacing w:after="0"/>
              <w:rPr>
                <w:rFonts w:ascii="Times New Roman" w:hAnsi="Times New Roman" w:cs="Times New Roman"/>
                <w:sz w:val="20"/>
              </w:rPr>
            </w:pPr>
            <w:r w:rsidRPr="00642C72">
              <w:rPr>
                <w:rStyle w:val="Other1"/>
                <w:rFonts w:ascii="Times New Roman" w:hAnsi="Times New Roman" w:cs="Times New Roman"/>
                <w:sz w:val="20"/>
              </w:rPr>
              <w:t>Технически умения: умения, необходими за решаване на проблеми, проектиране, експлоатация, преосмисляне и поддръжка на машини или технологични структури, ИТ професионални умения;</w:t>
            </w:r>
          </w:p>
          <w:p w14:paraId="20BE244D" w14:textId="77777777" w:rsidR="004478D8" w:rsidRPr="00642C72" w:rsidRDefault="004478D8" w:rsidP="004478D8">
            <w:pPr>
              <w:pStyle w:val="Other10"/>
              <w:numPr>
                <w:ilvl w:val="0"/>
                <w:numId w:val="1"/>
              </w:numPr>
              <w:tabs>
                <w:tab w:val="left" w:pos="120"/>
              </w:tabs>
              <w:spacing w:after="0"/>
              <w:rPr>
                <w:rFonts w:ascii="Times New Roman" w:hAnsi="Times New Roman" w:cs="Times New Roman"/>
                <w:sz w:val="20"/>
              </w:rPr>
            </w:pPr>
            <w:r w:rsidRPr="00642C72">
              <w:rPr>
                <w:rStyle w:val="Other1"/>
                <w:rFonts w:ascii="Times New Roman" w:hAnsi="Times New Roman" w:cs="Times New Roman"/>
                <w:sz w:val="20"/>
              </w:rPr>
              <w:t>Управленски умения: умения, свързани с бизнес планиране, спазване на разпоредбите и контрола на качеството, планиране на човешките ресурси и разпределение на ресурсите;</w:t>
            </w:r>
          </w:p>
          <w:p w14:paraId="39835D23" w14:textId="77777777" w:rsidR="004478D8" w:rsidRPr="00642C72" w:rsidRDefault="004478D8" w:rsidP="004478D8">
            <w:pPr>
              <w:pStyle w:val="Other10"/>
              <w:numPr>
                <w:ilvl w:val="0"/>
                <w:numId w:val="1"/>
              </w:numPr>
              <w:tabs>
                <w:tab w:val="left" w:pos="120"/>
              </w:tabs>
              <w:spacing w:after="0"/>
              <w:rPr>
                <w:rFonts w:ascii="Times New Roman" w:hAnsi="Times New Roman" w:cs="Times New Roman"/>
                <w:sz w:val="20"/>
              </w:rPr>
            </w:pPr>
            <w:r w:rsidRPr="00642C72">
              <w:rPr>
                <w:rStyle w:val="Other1"/>
                <w:rFonts w:ascii="Times New Roman" w:hAnsi="Times New Roman" w:cs="Times New Roman"/>
                <w:sz w:val="20"/>
              </w:rPr>
              <w:t>Предприемачески умения: специфични умения за стартиращи предприятия, като поемане/управление на риска, стратегическо мислене и увереност, способност за създаване на лични мрежи и способност за справяне с предизвикателства и изисквания от различно естество;</w:t>
            </w:r>
          </w:p>
          <w:p w14:paraId="7F98E645" w14:textId="77777777" w:rsidR="004478D8" w:rsidRPr="00642C72" w:rsidRDefault="004478D8" w:rsidP="004478D8">
            <w:pPr>
              <w:pStyle w:val="Other10"/>
              <w:numPr>
                <w:ilvl w:val="0"/>
                <w:numId w:val="1"/>
              </w:numPr>
              <w:tabs>
                <w:tab w:val="left" w:pos="120"/>
              </w:tabs>
              <w:spacing w:after="0"/>
              <w:rPr>
                <w:rFonts w:ascii="Times New Roman" w:hAnsi="Times New Roman" w:cs="Times New Roman"/>
                <w:sz w:val="20"/>
              </w:rPr>
            </w:pPr>
            <w:r w:rsidRPr="00642C72">
              <w:rPr>
                <w:rStyle w:val="Other1"/>
                <w:rFonts w:ascii="Times New Roman" w:hAnsi="Times New Roman" w:cs="Times New Roman"/>
                <w:sz w:val="20"/>
              </w:rPr>
              <w:t>„Зелени“ умения: специфични умения за модифициране на продукти, услуги или операции поради приспособяване към изменението на климата, опазване на околната среда, кръгова икономика, ефективно използване на ресурсите и изисквания или разпоредби;</w:t>
            </w:r>
          </w:p>
          <w:p w14:paraId="27C6EE1D" w14:textId="77777777" w:rsidR="004478D8" w:rsidRPr="00642C72" w:rsidRDefault="004478D8" w:rsidP="004478D8">
            <w:pPr>
              <w:pStyle w:val="Other10"/>
              <w:numPr>
                <w:ilvl w:val="0"/>
                <w:numId w:val="1"/>
              </w:numPr>
              <w:tabs>
                <w:tab w:val="left" w:pos="120"/>
              </w:tabs>
              <w:spacing w:after="220"/>
              <w:rPr>
                <w:rFonts w:ascii="Times New Roman" w:hAnsi="Times New Roman" w:cs="Times New Roman"/>
                <w:sz w:val="20"/>
              </w:rPr>
            </w:pPr>
            <w:r w:rsidRPr="00642C72">
              <w:rPr>
                <w:rStyle w:val="Other1"/>
                <w:rFonts w:ascii="Times New Roman" w:hAnsi="Times New Roman" w:cs="Times New Roman"/>
                <w:sz w:val="20"/>
              </w:rPr>
              <w:t>Други умения: умения, различни от четирите вида, описани по-горе.</w:t>
            </w:r>
          </w:p>
          <w:p w14:paraId="15A98A8E"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(ОИСР 2013 г. в препратки)</w:t>
            </w:r>
          </w:p>
        </w:tc>
      </w:tr>
      <w:tr w:rsidR="004478D8" w:rsidRPr="00642C72" w14:paraId="45575131" w14:textId="77777777" w:rsidTr="00D42500">
        <w:trPr>
          <w:trHeight w:hRule="exact" w:val="326"/>
          <w:jc w:val="center"/>
        </w:trPr>
        <w:tc>
          <w:tcPr>
            <w:tcW w:w="706" w:type="dxa"/>
            <w:tcBorders>
              <w:top w:val="single" w:sz="4" w:space="0" w:color="auto"/>
              <w:left w:val="single" w:sz="4" w:space="0" w:color="auto"/>
              <w:bottom w:val="single" w:sz="4" w:space="0" w:color="auto"/>
            </w:tcBorders>
            <w:shd w:val="clear" w:color="auto" w:fill="auto"/>
            <w:vAlign w:val="center"/>
          </w:tcPr>
          <w:p w14:paraId="277FFFC4" w14:textId="4344FC0D" w:rsidR="004478D8" w:rsidRPr="00642C72" w:rsidRDefault="00D42500" w:rsidP="00D77D8D">
            <w:pPr>
              <w:pStyle w:val="Other10"/>
              <w:spacing w:after="0"/>
              <w:ind w:firstLine="240"/>
              <w:rPr>
                <w:rFonts w:ascii="Times New Roman" w:hAnsi="Times New Roman" w:cs="Times New Roman"/>
                <w:sz w:val="20"/>
              </w:rPr>
            </w:pPr>
            <w:r w:rsidRPr="00642C72">
              <w:rPr>
                <w:rStyle w:val="Other1"/>
                <w:rFonts w:ascii="Times New Roman" w:hAnsi="Times New Roman" w:cs="Times New Roman"/>
                <w:sz w:val="20"/>
              </w:rPr>
              <w:t>8</w:t>
            </w:r>
          </w:p>
        </w:tc>
        <w:tc>
          <w:tcPr>
            <w:tcW w:w="1934" w:type="dxa"/>
            <w:tcBorders>
              <w:top w:val="single" w:sz="4" w:space="0" w:color="auto"/>
              <w:left w:val="single" w:sz="4" w:space="0" w:color="auto"/>
              <w:bottom w:val="single" w:sz="4" w:space="0" w:color="auto"/>
            </w:tcBorders>
            <w:shd w:val="clear" w:color="auto" w:fill="auto"/>
            <w:vAlign w:val="center"/>
          </w:tcPr>
          <w:p w14:paraId="7483D4C5"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Събиране на данни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tcPr>
          <w:p w14:paraId="00869037" w14:textId="77777777" w:rsidR="004478D8" w:rsidRPr="00642C72" w:rsidRDefault="004478D8" w:rsidP="00D77D8D">
            <w:pPr>
              <w:pStyle w:val="Other10"/>
              <w:spacing w:after="0"/>
              <w:rPr>
                <w:rFonts w:ascii="Times New Roman" w:hAnsi="Times New Roman" w:cs="Times New Roman"/>
                <w:sz w:val="20"/>
              </w:rPr>
            </w:pPr>
            <w:r w:rsidRPr="00642C72">
              <w:rPr>
                <w:rStyle w:val="Other1"/>
                <w:rFonts w:ascii="Times New Roman" w:hAnsi="Times New Roman" w:cs="Times New Roman"/>
                <w:sz w:val="20"/>
              </w:rPr>
              <w:t>Подпомагани проекти</w:t>
            </w:r>
          </w:p>
        </w:tc>
      </w:tr>
    </w:tbl>
    <w:p w14:paraId="016C6D8C" w14:textId="2FB94D42" w:rsidR="004478D8" w:rsidRPr="00642C72" w:rsidRDefault="004478D8" w:rsidP="00E15221">
      <w:pPr>
        <w:tabs>
          <w:tab w:val="left" w:pos="3600"/>
        </w:tabs>
        <w:rPr>
          <w:rFonts w:ascii="Times New Roman" w:hAnsi="Times New Roman" w:cs="Times New Roman"/>
          <w:b/>
          <w:sz w:val="24"/>
          <w:szCs w:val="24"/>
        </w:rPr>
      </w:pPr>
    </w:p>
    <w:p w14:paraId="72D59D6A" w14:textId="77777777" w:rsidR="004478D8" w:rsidRPr="00642C72" w:rsidRDefault="004478D8" w:rsidP="00E15221">
      <w:pPr>
        <w:tabs>
          <w:tab w:val="left" w:pos="3600"/>
        </w:tabs>
        <w:rPr>
          <w:rFonts w:ascii="Times New Roman" w:hAnsi="Times New Roman" w:cs="Times New Roman"/>
          <w:b/>
          <w:sz w:val="24"/>
          <w:szCs w:val="24"/>
        </w:rPr>
      </w:pPr>
    </w:p>
    <w:p w14:paraId="7A61BE58" w14:textId="77777777" w:rsidR="00242FAA" w:rsidRPr="00642C72" w:rsidRDefault="00242FAA" w:rsidP="006F34B1">
      <w:pPr>
        <w:jc w:val="both"/>
        <w:rPr>
          <w:rFonts w:ascii="Times New Roman" w:hAnsi="Times New Roman" w:cs="Times New Roman"/>
          <w:b/>
          <w:sz w:val="24"/>
          <w:szCs w:val="24"/>
        </w:rPr>
      </w:pPr>
    </w:p>
    <w:sectPr w:rsidR="00242FAA" w:rsidRPr="00642C72" w:rsidSect="00251BA9">
      <w:headerReference w:type="default" r:id="rId8"/>
      <w:footerReference w:type="default" r:id="rId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705A6" w14:textId="77777777" w:rsidR="00882782" w:rsidRDefault="00882782" w:rsidP="00FB67A6">
      <w:pPr>
        <w:spacing w:after="0" w:line="240" w:lineRule="auto"/>
      </w:pPr>
      <w:r>
        <w:separator/>
      </w:r>
    </w:p>
  </w:endnote>
  <w:endnote w:type="continuationSeparator" w:id="0">
    <w:p w14:paraId="264A3CC4" w14:textId="77777777" w:rsidR="00882782" w:rsidRDefault="00882782" w:rsidP="00FB6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157786"/>
      <w:docPartObj>
        <w:docPartGallery w:val="Page Numbers (Bottom of Page)"/>
        <w:docPartUnique/>
      </w:docPartObj>
    </w:sdtPr>
    <w:sdtEndPr>
      <w:rPr>
        <w:rFonts w:ascii="Times New Roman" w:hAnsi="Times New Roman" w:cs="Times New Roman"/>
        <w:noProof/>
        <w:sz w:val="20"/>
        <w:szCs w:val="20"/>
      </w:rPr>
    </w:sdtEndPr>
    <w:sdtContent>
      <w:p w14:paraId="75D27BE6" w14:textId="55564A21" w:rsidR="00D60A81" w:rsidRDefault="00D60A81">
        <w:pPr>
          <w:pStyle w:val="Footer"/>
          <w:jc w:val="center"/>
        </w:pPr>
        <w:r w:rsidRPr="002B1B9E">
          <w:rPr>
            <w:rFonts w:ascii="Times New Roman" w:hAnsi="Times New Roman" w:cs="Times New Roman"/>
            <w:sz w:val="20"/>
            <w:szCs w:val="20"/>
          </w:rPr>
          <w:fldChar w:fldCharType="begin"/>
        </w:r>
        <w:r w:rsidRPr="002B1B9E">
          <w:rPr>
            <w:rFonts w:ascii="Times New Roman" w:hAnsi="Times New Roman" w:cs="Times New Roman"/>
            <w:sz w:val="20"/>
            <w:szCs w:val="20"/>
          </w:rPr>
          <w:instrText xml:space="preserve"> PAGE   \* MERGEFORMAT </w:instrText>
        </w:r>
        <w:r w:rsidRPr="002B1B9E">
          <w:rPr>
            <w:rFonts w:ascii="Times New Roman" w:hAnsi="Times New Roman" w:cs="Times New Roman"/>
            <w:sz w:val="20"/>
            <w:szCs w:val="20"/>
          </w:rPr>
          <w:fldChar w:fldCharType="separate"/>
        </w:r>
        <w:r w:rsidR="003B113A">
          <w:rPr>
            <w:rFonts w:ascii="Times New Roman" w:hAnsi="Times New Roman" w:cs="Times New Roman"/>
            <w:noProof/>
            <w:sz w:val="20"/>
            <w:szCs w:val="20"/>
          </w:rPr>
          <w:t>5</w:t>
        </w:r>
        <w:r w:rsidRPr="002B1B9E">
          <w:rPr>
            <w:rFonts w:ascii="Times New Roman" w:hAnsi="Times New Roman" w:cs="Times New Roman"/>
            <w:noProof/>
            <w:sz w:val="20"/>
            <w:szCs w:val="20"/>
          </w:rPr>
          <w:fldChar w:fldCharType="end"/>
        </w:r>
      </w:p>
    </w:sdtContent>
  </w:sdt>
  <w:p w14:paraId="7390B2FC" w14:textId="77777777" w:rsidR="00D60A81" w:rsidRDefault="00D60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748B5" w14:textId="77777777" w:rsidR="00882782" w:rsidRDefault="00882782" w:rsidP="00FB67A6">
      <w:pPr>
        <w:spacing w:after="0" w:line="240" w:lineRule="auto"/>
      </w:pPr>
      <w:r>
        <w:separator/>
      </w:r>
    </w:p>
  </w:footnote>
  <w:footnote w:type="continuationSeparator" w:id="0">
    <w:p w14:paraId="0BB495F3" w14:textId="77777777" w:rsidR="00882782" w:rsidRDefault="00882782" w:rsidP="00FB67A6">
      <w:pPr>
        <w:spacing w:after="0" w:line="240" w:lineRule="auto"/>
      </w:pPr>
      <w:r>
        <w:continuationSeparator/>
      </w:r>
    </w:p>
  </w:footnote>
  <w:footnote w:id="1">
    <w:p w14:paraId="54072002" w14:textId="77777777" w:rsidR="00D60A81" w:rsidRPr="00654B71" w:rsidRDefault="00D60A81" w:rsidP="00E70625">
      <w:pPr>
        <w:pStyle w:val="FootnoteText"/>
        <w:jc w:val="both"/>
        <w:rPr>
          <w:rFonts w:ascii="Times New Roman" w:hAnsi="Times New Roman" w:cs="Times New Roman"/>
        </w:rPr>
      </w:pPr>
      <w:r w:rsidRPr="00654B71">
        <w:rPr>
          <w:rStyle w:val="FootnoteReference"/>
          <w:rFonts w:ascii="Times New Roman" w:hAnsi="Times New Roman" w:cs="Times New Roman"/>
        </w:rPr>
        <w:footnoteRef/>
      </w:r>
      <w:r w:rsidRPr="00654B71">
        <w:rPr>
          <w:rFonts w:ascii="Times New Roman" w:hAnsi="Times New Roman" w:cs="Times New Roman"/>
        </w:rPr>
        <w:t xml:space="preserve"> Настоящото приложение е изготвено въз основа на Работения документ на службите на Комисията „Изпълнение, мониторинг и оценка на Европейския фонд за регионално развитие, Кохезионния фонд и Фонда за справедлив преход през 2021-2027 г.</w:t>
      </w:r>
      <w:r>
        <w:rPr>
          <w:rFonts w:ascii="Times New Roman" w:hAnsi="Times New Roman" w:cs="Times New Roman"/>
        </w:rPr>
        <w:t>“</w:t>
      </w:r>
      <w:r w:rsidRPr="00654B71">
        <w:rPr>
          <w:rFonts w:ascii="Times New Roman" w:hAnsi="Times New Roman" w:cs="Times New Roman"/>
        </w:rPr>
        <w:t xml:space="preserve">, като са отчетени спецификите на </w:t>
      </w:r>
      <w:r>
        <w:rPr>
          <w:rFonts w:ascii="Times New Roman" w:hAnsi="Times New Roman" w:cs="Times New Roman"/>
        </w:rPr>
        <w:t xml:space="preserve">настоящата </w:t>
      </w:r>
      <w:r w:rsidRPr="00654B71">
        <w:rPr>
          <w:rFonts w:ascii="Times New Roman" w:hAnsi="Times New Roman" w:cs="Times New Roman"/>
        </w:rPr>
        <w:t>процедура, по която ще се отчитат съответните индикатори.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12" w:type="dxa"/>
      <w:tblLook w:val="0000" w:firstRow="0" w:lastRow="0" w:firstColumn="0" w:lastColumn="0" w:noHBand="0" w:noVBand="0"/>
    </w:tblPr>
    <w:tblGrid>
      <w:gridCol w:w="3844"/>
      <w:gridCol w:w="1806"/>
      <w:gridCol w:w="3662"/>
    </w:tblGrid>
    <w:tr w:rsidR="00D60A81" w:rsidRPr="00FB67A6" w14:paraId="3B564A06" w14:textId="77777777" w:rsidTr="00BF1F7F">
      <w:trPr>
        <w:trHeight w:val="1134"/>
      </w:trPr>
      <w:tc>
        <w:tcPr>
          <w:tcW w:w="3844" w:type="dxa"/>
        </w:tcPr>
        <w:p w14:paraId="3F2A7A46" w14:textId="77777777" w:rsidR="00D60A81" w:rsidRPr="00FB67A6" w:rsidRDefault="00D60A81" w:rsidP="00FB67A6">
          <w:pPr>
            <w:rPr>
              <w:rFonts w:ascii="Calibri" w:eastAsia="Calibri" w:hAnsi="Calibri" w:cs="Times New Roman"/>
              <w:b/>
              <w:sz w:val="18"/>
              <w:szCs w:val="18"/>
            </w:rPr>
          </w:pPr>
          <w:r w:rsidRPr="00FB67A6">
            <w:rPr>
              <w:rFonts w:ascii="Calibri" w:eastAsia="Calibri" w:hAnsi="Calibri" w:cs="Times New Roman"/>
              <w:i/>
              <w:noProof/>
              <w:lang w:val="en-US"/>
            </w:rPr>
            <w:drawing>
              <wp:inline distT="0" distB="0" distL="0" distR="0" wp14:anchorId="1FF6DC9E" wp14:editId="5C7A6407">
                <wp:extent cx="2009775" cy="466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725"/>
                        </a:xfrm>
                        <a:prstGeom prst="rect">
                          <a:avLst/>
                        </a:prstGeom>
                        <a:noFill/>
                        <a:ln>
                          <a:noFill/>
                        </a:ln>
                      </pic:spPr>
                    </pic:pic>
                  </a:graphicData>
                </a:graphic>
              </wp:inline>
            </w:drawing>
          </w:r>
        </w:p>
      </w:tc>
      <w:tc>
        <w:tcPr>
          <w:tcW w:w="1806" w:type="dxa"/>
        </w:tcPr>
        <w:p w14:paraId="597170C2" w14:textId="77777777" w:rsidR="00D60A81" w:rsidRPr="00FB67A6" w:rsidRDefault="00D60A81" w:rsidP="00FB67A6">
          <w:pPr>
            <w:jc w:val="center"/>
            <w:rPr>
              <w:rFonts w:ascii="Calibri" w:eastAsia="Calibri" w:hAnsi="Calibri" w:cs="Times New Roman"/>
            </w:rPr>
          </w:pPr>
        </w:p>
      </w:tc>
      <w:tc>
        <w:tcPr>
          <w:tcW w:w="3662" w:type="dxa"/>
        </w:tcPr>
        <w:p w14:paraId="6FFF9725" w14:textId="4A7AAE40" w:rsidR="00D60A81" w:rsidRPr="00FB67A6" w:rsidRDefault="000877F4" w:rsidP="00FB67A6">
          <w:pPr>
            <w:jc w:val="center"/>
            <w:rPr>
              <w:rFonts w:ascii="Calibri" w:eastAsia="Calibri" w:hAnsi="Calibri" w:cs="Times New Roman"/>
            </w:rPr>
          </w:pPr>
          <w:r>
            <w:rPr>
              <w:noProof/>
              <w:lang w:val="en-US"/>
            </w:rPr>
            <w:drawing>
              <wp:anchor distT="0" distB="0" distL="114300" distR="114300" simplePos="0" relativeHeight="251658240" behindDoc="1" locked="0" layoutInCell="1" allowOverlap="1" wp14:anchorId="33A63A7D" wp14:editId="26A0D483">
                <wp:simplePos x="0" y="0"/>
                <wp:positionH relativeFrom="column">
                  <wp:posOffset>628650</wp:posOffset>
                </wp:positionH>
                <wp:positionV relativeFrom="paragraph">
                  <wp:posOffset>635</wp:posOffset>
                </wp:positionV>
                <wp:extent cx="998220" cy="649605"/>
                <wp:effectExtent l="0" t="0" r="0" b="0"/>
                <wp:wrapTight wrapText="bothSides">
                  <wp:wrapPolygon edited="0">
                    <wp:start x="0" y="0"/>
                    <wp:lineTo x="0" y="20903"/>
                    <wp:lineTo x="21023" y="20903"/>
                    <wp:lineTo x="21023" y="0"/>
                    <wp:lineTo x="0" y="0"/>
                  </wp:wrapPolygon>
                </wp:wrapTight>
                <wp:docPr id="8" name="Picture 7"/>
                <wp:cNvGraphicFramePr/>
                <a:graphic xmlns:a="http://schemas.openxmlformats.org/drawingml/2006/main">
                  <a:graphicData uri="http://schemas.openxmlformats.org/drawingml/2006/picture">
                    <pic:pic xmlns:pic="http://schemas.openxmlformats.org/drawingml/2006/picture">
                      <pic:nvPicPr>
                        <pic:cNvPr id="8" name="Picture 7"/>
                        <pic:cNvPicPr/>
                      </pic:nvPicPr>
                      <pic:blipFill>
                        <a:blip r:embed="rId2" cstate="print">
                          <a:extLst>
                            <a:ext uri="{28A0092B-C50C-407E-A947-70E740481C1C}">
                              <a14:useLocalDpi xmlns:a14="http://schemas.microsoft.com/office/drawing/2010/main" val="0"/>
                            </a:ext>
                          </a:extLst>
                        </a:blip>
                        <a:stretch>
                          <a:fillRect/>
                        </a:stretch>
                      </pic:blipFill>
                      <pic:spPr>
                        <a:xfrm>
                          <a:off x="0" y="0"/>
                          <a:ext cx="998220" cy="649605"/>
                        </a:xfrm>
                        <a:prstGeom prst="rect">
                          <a:avLst/>
                        </a:prstGeom>
                      </pic:spPr>
                    </pic:pic>
                  </a:graphicData>
                </a:graphic>
                <wp14:sizeRelH relativeFrom="margin">
                  <wp14:pctWidth>0</wp14:pctWidth>
                </wp14:sizeRelH>
                <wp14:sizeRelV relativeFrom="margin">
                  <wp14:pctHeight>0</wp14:pctHeight>
                </wp14:sizeRelV>
              </wp:anchor>
            </w:drawing>
          </w:r>
        </w:p>
      </w:tc>
    </w:tr>
  </w:tbl>
  <w:p w14:paraId="78628B16" w14:textId="77777777" w:rsidR="00D60A81" w:rsidRDefault="00D60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53F74"/>
    <w:multiLevelType w:val="multilevel"/>
    <w:tmpl w:val="EF2038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A6"/>
    <w:rsid w:val="000331E2"/>
    <w:rsid w:val="000512DE"/>
    <w:rsid w:val="000877F4"/>
    <w:rsid w:val="000C71D3"/>
    <w:rsid w:val="000E31E7"/>
    <w:rsid w:val="000E53DE"/>
    <w:rsid w:val="00122A4A"/>
    <w:rsid w:val="001269EB"/>
    <w:rsid w:val="00126A34"/>
    <w:rsid w:val="001373C5"/>
    <w:rsid w:val="0019246F"/>
    <w:rsid w:val="001C240F"/>
    <w:rsid w:val="001C3D91"/>
    <w:rsid w:val="001C7BED"/>
    <w:rsid w:val="001D0806"/>
    <w:rsid w:val="001F74F8"/>
    <w:rsid w:val="00214156"/>
    <w:rsid w:val="00242FAA"/>
    <w:rsid w:val="00251BA9"/>
    <w:rsid w:val="00282CE1"/>
    <w:rsid w:val="00285C3F"/>
    <w:rsid w:val="002A23E9"/>
    <w:rsid w:val="002B1B9E"/>
    <w:rsid w:val="00321527"/>
    <w:rsid w:val="00321CC3"/>
    <w:rsid w:val="0036282C"/>
    <w:rsid w:val="00374759"/>
    <w:rsid w:val="00387295"/>
    <w:rsid w:val="00394425"/>
    <w:rsid w:val="003969A2"/>
    <w:rsid w:val="003B0361"/>
    <w:rsid w:val="003B113A"/>
    <w:rsid w:val="00400795"/>
    <w:rsid w:val="004012B1"/>
    <w:rsid w:val="0041121F"/>
    <w:rsid w:val="00414F9D"/>
    <w:rsid w:val="00435C76"/>
    <w:rsid w:val="00442700"/>
    <w:rsid w:val="004472B3"/>
    <w:rsid w:val="004478D8"/>
    <w:rsid w:val="004632A2"/>
    <w:rsid w:val="0046717D"/>
    <w:rsid w:val="00473494"/>
    <w:rsid w:val="004A48F9"/>
    <w:rsid w:val="004B521C"/>
    <w:rsid w:val="004F0260"/>
    <w:rsid w:val="004F3C87"/>
    <w:rsid w:val="00515E0F"/>
    <w:rsid w:val="00517C82"/>
    <w:rsid w:val="00524030"/>
    <w:rsid w:val="00526C71"/>
    <w:rsid w:val="00573210"/>
    <w:rsid w:val="00587326"/>
    <w:rsid w:val="00596117"/>
    <w:rsid w:val="005A0109"/>
    <w:rsid w:val="005E67EB"/>
    <w:rsid w:val="00601541"/>
    <w:rsid w:val="00642C72"/>
    <w:rsid w:val="00651EA7"/>
    <w:rsid w:val="00654B71"/>
    <w:rsid w:val="00656FCF"/>
    <w:rsid w:val="00671F45"/>
    <w:rsid w:val="006941EE"/>
    <w:rsid w:val="006A754E"/>
    <w:rsid w:val="006B5449"/>
    <w:rsid w:val="006B7079"/>
    <w:rsid w:val="006C1D84"/>
    <w:rsid w:val="006E3049"/>
    <w:rsid w:val="006F34B1"/>
    <w:rsid w:val="006F79A2"/>
    <w:rsid w:val="00701CC2"/>
    <w:rsid w:val="00735AA1"/>
    <w:rsid w:val="007A4FD4"/>
    <w:rsid w:val="007D236B"/>
    <w:rsid w:val="007E0F88"/>
    <w:rsid w:val="007F3426"/>
    <w:rsid w:val="00843E07"/>
    <w:rsid w:val="008537A8"/>
    <w:rsid w:val="00860472"/>
    <w:rsid w:val="00881007"/>
    <w:rsid w:val="00882782"/>
    <w:rsid w:val="00895365"/>
    <w:rsid w:val="008C50EC"/>
    <w:rsid w:val="009201E5"/>
    <w:rsid w:val="009317D4"/>
    <w:rsid w:val="0097715B"/>
    <w:rsid w:val="0099547A"/>
    <w:rsid w:val="009B2129"/>
    <w:rsid w:val="009B6FFE"/>
    <w:rsid w:val="009C19FA"/>
    <w:rsid w:val="009D09D3"/>
    <w:rsid w:val="009F5D2B"/>
    <w:rsid w:val="00A00FCA"/>
    <w:rsid w:val="00A035EF"/>
    <w:rsid w:val="00A138FD"/>
    <w:rsid w:val="00A177C4"/>
    <w:rsid w:val="00A2087F"/>
    <w:rsid w:val="00A23D3D"/>
    <w:rsid w:val="00A400C0"/>
    <w:rsid w:val="00A70B0B"/>
    <w:rsid w:val="00A87F8D"/>
    <w:rsid w:val="00AE2D43"/>
    <w:rsid w:val="00AE3534"/>
    <w:rsid w:val="00B95BAD"/>
    <w:rsid w:val="00BA7DA4"/>
    <w:rsid w:val="00BA7F11"/>
    <w:rsid w:val="00BD0C83"/>
    <w:rsid w:val="00BE7580"/>
    <w:rsid w:val="00BF06B4"/>
    <w:rsid w:val="00BF1F7F"/>
    <w:rsid w:val="00BF5477"/>
    <w:rsid w:val="00C000E3"/>
    <w:rsid w:val="00C33A5D"/>
    <w:rsid w:val="00C44E76"/>
    <w:rsid w:val="00C8201A"/>
    <w:rsid w:val="00CA521A"/>
    <w:rsid w:val="00D42500"/>
    <w:rsid w:val="00D51210"/>
    <w:rsid w:val="00D60A81"/>
    <w:rsid w:val="00D734A1"/>
    <w:rsid w:val="00D80199"/>
    <w:rsid w:val="00D82EBF"/>
    <w:rsid w:val="00DB42F3"/>
    <w:rsid w:val="00DC03AB"/>
    <w:rsid w:val="00DE7655"/>
    <w:rsid w:val="00E07783"/>
    <w:rsid w:val="00E15221"/>
    <w:rsid w:val="00E70625"/>
    <w:rsid w:val="00E90ED1"/>
    <w:rsid w:val="00E95921"/>
    <w:rsid w:val="00E972BC"/>
    <w:rsid w:val="00EB168B"/>
    <w:rsid w:val="00EB2A77"/>
    <w:rsid w:val="00ED5E2F"/>
    <w:rsid w:val="00EE3FF1"/>
    <w:rsid w:val="00F31F52"/>
    <w:rsid w:val="00F34007"/>
    <w:rsid w:val="00F54304"/>
    <w:rsid w:val="00F60325"/>
    <w:rsid w:val="00F62D76"/>
    <w:rsid w:val="00F75289"/>
    <w:rsid w:val="00F770DC"/>
    <w:rsid w:val="00FA707A"/>
    <w:rsid w:val="00FB67A6"/>
    <w:rsid w:val="00FC6126"/>
    <w:rsid w:val="00FD51C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A18F8"/>
  <w15:chartTrackingRefBased/>
  <w15:docId w15:val="{4CAB4013-07F8-4883-8D3F-A3BA822D9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67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67A6"/>
  </w:style>
  <w:style w:type="paragraph" w:styleId="Footer">
    <w:name w:val="footer"/>
    <w:basedOn w:val="Normal"/>
    <w:link w:val="FooterChar"/>
    <w:uiPriority w:val="99"/>
    <w:unhideWhenUsed/>
    <w:rsid w:val="00FB67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B67A6"/>
  </w:style>
  <w:style w:type="character" w:styleId="CommentReference">
    <w:name w:val="annotation reference"/>
    <w:basedOn w:val="DefaultParagraphFont"/>
    <w:uiPriority w:val="99"/>
    <w:semiHidden/>
    <w:unhideWhenUsed/>
    <w:rsid w:val="00FB67A6"/>
    <w:rPr>
      <w:sz w:val="16"/>
      <w:szCs w:val="16"/>
    </w:rPr>
  </w:style>
  <w:style w:type="paragraph" w:styleId="CommentText">
    <w:name w:val="annotation text"/>
    <w:basedOn w:val="Normal"/>
    <w:link w:val="CommentTextChar"/>
    <w:uiPriority w:val="99"/>
    <w:semiHidden/>
    <w:unhideWhenUsed/>
    <w:rsid w:val="00FB67A6"/>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FB67A6"/>
    <w:rPr>
      <w:rFonts w:ascii="Times New Roman" w:eastAsia="Times New Roman" w:hAnsi="Times New Roman" w:cs="Times New Roman"/>
      <w:sz w:val="20"/>
      <w:szCs w:val="20"/>
      <w:lang w:val="en-US"/>
    </w:rPr>
  </w:style>
  <w:style w:type="paragraph" w:styleId="FootnoteText">
    <w:name w:val="footnote text"/>
    <w:basedOn w:val="Normal"/>
    <w:link w:val="FootnoteTextChar"/>
    <w:uiPriority w:val="99"/>
    <w:semiHidden/>
    <w:unhideWhenUsed/>
    <w:rsid w:val="00414F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4F9D"/>
    <w:rPr>
      <w:sz w:val="20"/>
      <w:szCs w:val="20"/>
    </w:rPr>
  </w:style>
  <w:style w:type="character" w:styleId="FootnoteReference">
    <w:name w:val="footnote reference"/>
    <w:basedOn w:val="DefaultParagraphFont"/>
    <w:uiPriority w:val="99"/>
    <w:semiHidden/>
    <w:unhideWhenUsed/>
    <w:rsid w:val="00414F9D"/>
    <w:rPr>
      <w:vertAlign w:val="superscript"/>
    </w:rPr>
  </w:style>
  <w:style w:type="paragraph" w:styleId="Revision">
    <w:name w:val="Revision"/>
    <w:hidden/>
    <w:uiPriority w:val="99"/>
    <w:semiHidden/>
    <w:rsid w:val="00442700"/>
    <w:pPr>
      <w:spacing w:after="0" w:line="240" w:lineRule="auto"/>
    </w:pPr>
  </w:style>
  <w:style w:type="paragraph" w:styleId="BalloonText">
    <w:name w:val="Balloon Text"/>
    <w:basedOn w:val="Normal"/>
    <w:link w:val="BalloonTextChar"/>
    <w:uiPriority w:val="99"/>
    <w:semiHidden/>
    <w:unhideWhenUsed/>
    <w:rsid w:val="004427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70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2700"/>
    <w:pPr>
      <w:widowControl/>
      <w:autoSpaceDE/>
      <w:autoSpaceDN/>
      <w:spacing w:after="160"/>
    </w:pPr>
    <w:rPr>
      <w:rFonts w:asciiTheme="minorHAnsi" w:eastAsiaTheme="minorHAnsi" w:hAnsiTheme="minorHAnsi" w:cstheme="minorBidi"/>
      <w:b/>
      <w:bCs/>
      <w:lang w:val="bg-BG"/>
    </w:rPr>
  </w:style>
  <w:style w:type="character" w:customStyle="1" w:styleId="CommentSubjectChar">
    <w:name w:val="Comment Subject Char"/>
    <w:basedOn w:val="CommentTextChar"/>
    <w:link w:val="CommentSubject"/>
    <w:uiPriority w:val="99"/>
    <w:semiHidden/>
    <w:rsid w:val="00442700"/>
    <w:rPr>
      <w:rFonts w:ascii="Times New Roman" w:eastAsia="Times New Roman" w:hAnsi="Times New Roman" w:cs="Times New Roman"/>
      <w:b/>
      <w:bCs/>
      <w:sz w:val="20"/>
      <w:szCs w:val="20"/>
      <w:lang w:val="en-US"/>
    </w:rPr>
  </w:style>
  <w:style w:type="paragraph" w:styleId="ListParagraph">
    <w:name w:val="List Paragraph"/>
    <w:basedOn w:val="Normal"/>
    <w:uiPriority w:val="34"/>
    <w:qFormat/>
    <w:rsid w:val="00C33A5D"/>
    <w:pPr>
      <w:ind w:left="720"/>
      <w:contextualSpacing/>
    </w:pPr>
  </w:style>
  <w:style w:type="character" w:customStyle="1" w:styleId="Other1">
    <w:name w:val="Other|1_"/>
    <w:basedOn w:val="DefaultParagraphFont"/>
    <w:link w:val="Other10"/>
    <w:rsid w:val="004478D8"/>
  </w:style>
  <w:style w:type="paragraph" w:customStyle="1" w:styleId="Other10">
    <w:name w:val="Other|1"/>
    <w:basedOn w:val="Normal"/>
    <w:link w:val="Other1"/>
    <w:rsid w:val="004478D8"/>
    <w:pPr>
      <w:widowControl w:val="0"/>
      <w:spacing w:after="100" w:line="240" w:lineRule="auto"/>
    </w:pPr>
  </w:style>
  <w:style w:type="character" w:customStyle="1" w:styleId="Picturecaption1">
    <w:name w:val="Picture caption|1_"/>
    <w:basedOn w:val="DefaultParagraphFont"/>
    <w:link w:val="Picturecaption10"/>
    <w:rsid w:val="000331E2"/>
    <w:rPr>
      <w:rFonts w:ascii="Arial" w:eastAsia="Arial" w:hAnsi="Arial" w:cs="Arial"/>
    </w:rPr>
  </w:style>
  <w:style w:type="paragraph" w:customStyle="1" w:styleId="Picturecaption10">
    <w:name w:val="Picture caption|1"/>
    <w:basedOn w:val="Normal"/>
    <w:link w:val="Picturecaption1"/>
    <w:rsid w:val="000331E2"/>
    <w:pPr>
      <w:widowControl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01A64-8BBC-4E22-BC1C-8B3B36812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Стела</dc:creator>
  <cp:keywords/>
  <dc:description/>
  <cp:lastModifiedBy>TATYANA NIKOLOVA ANGELCHEVA</cp:lastModifiedBy>
  <cp:revision>9</cp:revision>
  <dcterms:created xsi:type="dcterms:W3CDTF">2024-11-19T15:42:00Z</dcterms:created>
  <dcterms:modified xsi:type="dcterms:W3CDTF">2025-01-28T09:13:00Z</dcterms:modified>
</cp:coreProperties>
</file>